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AA3A5" w14:textId="44AC7297" w:rsidR="00B6048B" w:rsidRDefault="00D31FD2" w:rsidP="009C0C27">
      <w:pPr>
        <w:spacing w:after="0" w:line="240" w:lineRule="auto"/>
        <w:rPr>
          <w:rFonts w:ascii="Times New Roman" w:eastAsia="Times New Roman" w:hAnsi="Times New Roman" w:cs="Times New Roman"/>
          <w:sz w:val="27"/>
          <w:szCs w:val="27"/>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9A5CAD0" wp14:editId="01A16585">
                <wp:simplePos x="0" y="0"/>
                <wp:positionH relativeFrom="column">
                  <wp:posOffset>1994087</wp:posOffset>
                </wp:positionH>
                <wp:positionV relativeFrom="paragraph">
                  <wp:posOffset>59391</wp:posOffset>
                </wp:positionV>
                <wp:extent cx="4838700" cy="1066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066800"/>
                        </a:xfrm>
                        <a:prstGeom prst="rect">
                          <a:avLst/>
                        </a:prstGeom>
                        <a:solidFill>
                          <a:srgbClr val="FFFFFF"/>
                        </a:solidFill>
                        <a:ln w="9525">
                          <a:noFill/>
                          <a:miter lim="800000"/>
                          <a:headEnd/>
                          <a:tailEnd/>
                        </a:ln>
                      </wps:spPr>
                      <wps:txbx>
                        <w:txbxContent>
                          <w:p w14:paraId="56590C02" w14:textId="24CD845F" w:rsidR="0040322B" w:rsidRPr="00A9788C" w:rsidRDefault="00D31FD2" w:rsidP="00A9788C">
                            <w:pPr>
                              <w:jc w:val="right"/>
                              <w:rPr>
                                <w:rFonts w:ascii="Arial Black" w:hAnsi="Arial Black"/>
                                <w:color w:val="1F497D" w:themeColor="text2"/>
                                <w:sz w:val="30"/>
                                <w:szCs w:val="30"/>
                              </w:rPr>
                            </w:pPr>
                            <w:r w:rsidRPr="00D31FD2">
                              <w:rPr>
                                <w:rFonts w:ascii="Arial Black" w:hAnsi="Arial Black"/>
                                <w:b/>
                                <w:color w:val="00B0F0"/>
                                <w:sz w:val="36"/>
                                <w:szCs w:val="36"/>
                              </w:rPr>
                              <w:t xml:space="preserve">BUSINESS EMPLOYMENT </w:t>
                            </w:r>
                            <w:r>
                              <w:rPr>
                                <w:rFonts w:ascii="Arial Black" w:hAnsi="Arial Black"/>
                                <w:b/>
                                <w:color w:val="00B0F0"/>
                                <w:sz w:val="36"/>
                                <w:szCs w:val="36"/>
                              </w:rPr>
                              <w:t>D</w:t>
                            </w:r>
                            <w:r w:rsidRPr="00D31FD2">
                              <w:rPr>
                                <w:rFonts w:ascii="Arial Black" w:hAnsi="Arial Black"/>
                                <w:b/>
                                <w:color w:val="00B0F0"/>
                                <w:sz w:val="36"/>
                                <w:szCs w:val="36"/>
                              </w:rPr>
                              <w:t>YNAMICS</w:t>
                            </w:r>
                            <w:r>
                              <w:rPr>
                                <w:rFonts w:ascii="Arial Black" w:hAnsi="Arial Black"/>
                                <w:b/>
                                <w:color w:val="00B0F0"/>
                                <w:sz w:val="36"/>
                                <w:szCs w:val="36"/>
                              </w:rPr>
                              <w:br/>
                            </w:r>
                            <w:r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proofErr w:type="spellStart"/>
                            <w:r w:rsidR="003621D9" w:rsidRPr="003621D9">
                              <w:rPr>
                                <w:b/>
                                <w:color w:val="17365D" w:themeColor="text2" w:themeShade="BF"/>
                                <w:sz w:val="24"/>
                                <w:szCs w:val="24"/>
                              </w:rPr>
                              <w:t>Danté</w:t>
                            </w:r>
                            <w:proofErr w:type="spellEnd"/>
                            <w:r w:rsidR="003621D9" w:rsidRPr="003621D9">
                              <w:rPr>
                                <w:b/>
                                <w:color w:val="17365D" w:themeColor="text2" w:themeShade="BF"/>
                                <w:sz w:val="24"/>
                                <w:szCs w:val="24"/>
                              </w:rPr>
                              <w:t xml:space="preserve"> Bartolomeo</w:t>
                            </w:r>
                            <w:r w:rsidRPr="00F92959">
                              <w:rPr>
                                <w:b/>
                                <w:color w:val="17365D" w:themeColor="text2" w:themeShade="BF"/>
                                <w:sz w:val="24"/>
                                <w:szCs w:val="24"/>
                              </w:rPr>
                              <w:t xml:space="preserve">, </w:t>
                            </w:r>
                            <w:r w:rsidR="001D0072" w:rsidRPr="00F92959">
                              <w:rPr>
                                <w:b/>
                                <w:color w:val="17365D" w:themeColor="text2" w:themeShade="BF"/>
                                <w:sz w:val="24"/>
                                <w:szCs w:val="24"/>
                              </w:rPr>
                              <w:t>Commissioner</w:t>
                            </w:r>
                            <w:r w:rsidR="00F92959" w:rsidRPr="00F92959">
                              <w:rPr>
                                <w:b/>
                                <w:color w:val="17365D" w:themeColor="text2" w:themeShade="BF"/>
                                <w:sz w:val="24"/>
                                <w:szCs w:val="24"/>
                              </w:rPr>
                              <w:br/>
                            </w:r>
                            <w:r w:rsidR="00142F84">
                              <w:rPr>
                                <w:b/>
                                <w:color w:val="17365D" w:themeColor="text2" w:themeShade="BF"/>
                                <w:sz w:val="24"/>
                                <w:szCs w:val="24"/>
                              </w:rPr>
                              <w:t>Patrick Flaherty</w:t>
                            </w:r>
                            <w:r w:rsidR="00F92959" w:rsidRPr="00F92959">
                              <w:rPr>
                                <w:b/>
                                <w:color w:val="17365D" w:themeColor="text2" w:themeShade="BF"/>
                                <w:sz w:val="24"/>
                                <w:szCs w:val="24"/>
                              </w:rPr>
                              <w:t>, Director of Research</w:t>
                            </w:r>
                            <w:r w:rsidR="00A9788C">
                              <w:rPr>
                                <w:b/>
                                <w:color w:val="1F497D" w:themeColor="text2"/>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5CAD0" id="_x0000_t202" coordsize="21600,21600" o:spt="202" path="m,l,21600r21600,l21600,xe">
                <v:stroke joinstyle="miter"/>
                <v:path gradientshapeok="t" o:connecttype="rect"/>
              </v:shapetype>
              <v:shape id="Text Box 2" o:spid="_x0000_s1026" type="#_x0000_t202" style="position:absolute;margin-left:157pt;margin-top:4.7pt;width:381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UDAIAAPcDAAAOAAAAZHJzL2Uyb0RvYy54bWysU9tu2zAMfR+wfxD0vtjJkjQ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" stroked="f">
                <v:textbox>
                  <w:txbxContent>
                    <w:p w14:paraId="56590C02" w14:textId="24CD845F" w:rsidR="0040322B" w:rsidRPr="00A9788C" w:rsidRDefault="00D31FD2" w:rsidP="00A9788C">
                      <w:pPr>
                        <w:jc w:val="right"/>
                        <w:rPr>
                          <w:rFonts w:ascii="Arial Black" w:hAnsi="Arial Black"/>
                          <w:color w:val="1F497D" w:themeColor="text2"/>
                          <w:sz w:val="30"/>
                          <w:szCs w:val="30"/>
                        </w:rPr>
                      </w:pPr>
                      <w:r w:rsidRPr="00D31FD2">
                        <w:rPr>
                          <w:rFonts w:ascii="Arial Black" w:hAnsi="Arial Black"/>
                          <w:b/>
                          <w:color w:val="00B0F0"/>
                          <w:sz w:val="36"/>
                          <w:szCs w:val="36"/>
                        </w:rPr>
                        <w:t xml:space="preserve">BUSINESS EMPLOYMENT </w:t>
                      </w:r>
                      <w:r>
                        <w:rPr>
                          <w:rFonts w:ascii="Arial Black" w:hAnsi="Arial Black"/>
                          <w:b/>
                          <w:color w:val="00B0F0"/>
                          <w:sz w:val="36"/>
                          <w:szCs w:val="36"/>
                        </w:rPr>
                        <w:t>D</w:t>
                      </w:r>
                      <w:r w:rsidRPr="00D31FD2">
                        <w:rPr>
                          <w:rFonts w:ascii="Arial Black" w:hAnsi="Arial Black"/>
                          <w:b/>
                          <w:color w:val="00B0F0"/>
                          <w:sz w:val="36"/>
                          <w:szCs w:val="36"/>
                        </w:rPr>
                        <w:t>YNAMICS</w:t>
                      </w:r>
                      <w:r>
                        <w:rPr>
                          <w:rFonts w:ascii="Arial Black" w:hAnsi="Arial Black"/>
                          <w:b/>
                          <w:color w:val="00B0F0"/>
                          <w:sz w:val="36"/>
                          <w:szCs w:val="36"/>
                        </w:rPr>
                        <w:br/>
                      </w:r>
                      <w:r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proofErr w:type="spellStart"/>
                      <w:r w:rsidR="003621D9" w:rsidRPr="003621D9">
                        <w:rPr>
                          <w:b/>
                          <w:color w:val="17365D" w:themeColor="text2" w:themeShade="BF"/>
                          <w:sz w:val="24"/>
                          <w:szCs w:val="24"/>
                        </w:rPr>
                        <w:t>Danté</w:t>
                      </w:r>
                      <w:proofErr w:type="spellEnd"/>
                      <w:r w:rsidR="003621D9" w:rsidRPr="003621D9">
                        <w:rPr>
                          <w:b/>
                          <w:color w:val="17365D" w:themeColor="text2" w:themeShade="BF"/>
                          <w:sz w:val="24"/>
                          <w:szCs w:val="24"/>
                        </w:rPr>
                        <w:t xml:space="preserve"> Bartolomeo</w:t>
                      </w:r>
                      <w:r w:rsidRPr="00F92959">
                        <w:rPr>
                          <w:b/>
                          <w:color w:val="17365D" w:themeColor="text2" w:themeShade="BF"/>
                          <w:sz w:val="24"/>
                          <w:szCs w:val="24"/>
                        </w:rPr>
                        <w:t xml:space="preserve">, </w:t>
                      </w:r>
                      <w:r w:rsidR="001D0072" w:rsidRPr="00F92959">
                        <w:rPr>
                          <w:b/>
                          <w:color w:val="17365D" w:themeColor="text2" w:themeShade="BF"/>
                          <w:sz w:val="24"/>
                          <w:szCs w:val="24"/>
                        </w:rPr>
                        <w:t>Commissioner</w:t>
                      </w:r>
                      <w:r w:rsidR="00F92959" w:rsidRPr="00F92959">
                        <w:rPr>
                          <w:b/>
                          <w:color w:val="17365D" w:themeColor="text2" w:themeShade="BF"/>
                          <w:sz w:val="24"/>
                          <w:szCs w:val="24"/>
                        </w:rPr>
                        <w:br/>
                      </w:r>
                      <w:r w:rsidR="00142F84">
                        <w:rPr>
                          <w:b/>
                          <w:color w:val="17365D" w:themeColor="text2" w:themeShade="BF"/>
                          <w:sz w:val="24"/>
                          <w:szCs w:val="24"/>
                        </w:rPr>
                        <w:t>Patrick Flaherty</w:t>
                      </w:r>
                      <w:r w:rsidR="00F92959" w:rsidRPr="00F92959">
                        <w:rPr>
                          <w:b/>
                          <w:color w:val="17365D" w:themeColor="text2" w:themeShade="BF"/>
                          <w:sz w:val="24"/>
                          <w:szCs w:val="24"/>
                        </w:rPr>
                        <w:t>, Director of Research</w:t>
                      </w:r>
                      <w:r w:rsidR="00A9788C">
                        <w:rPr>
                          <w:b/>
                          <w:color w:val="1F497D" w:themeColor="text2"/>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1405B67F" wp14:editId="3A36DB7D">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r w:rsidR="00D83E56">
        <w:rPr>
          <w:rFonts w:ascii="Times New Roman" w:eastAsia="Times New Roman" w:hAnsi="Times New Roman" w:cs="Times New Roman"/>
          <w:b/>
          <w:sz w:val="30"/>
          <w:szCs w:val="30"/>
        </w:rPr>
        <w:br/>
      </w:r>
      <w:r w:rsidR="00990A3A">
        <w:rPr>
          <w:rFonts w:ascii="Times New Roman" w:eastAsia="Times New Roman" w:hAnsi="Times New Roman" w:cs="Times New Roman"/>
          <w:b/>
          <w:sz w:val="30"/>
          <w:szCs w:val="30"/>
        </w:rPr>
        <w:tab/>
      </w:r>
      <w:r w:rsidR="00990A3A">
        <w:rPr>
          <w:rFonts w:ascii="Times New Roman" w:eastAsia="Times New Roman" w:hAnsi="Times New Roman" w:cs="Times New Roman"/>
          <w:b/>
          <w:sz w:val="30"/>
          <w:szCs w:val="30"/>
        </w:rPr>
        <w:tab/>
      </w:r>
      <w:r w:rsidR="00990A3A">
        <w:rPr>
          <w:rFonts w:ascii="Times New Roman" w:eastAsia="Times New Roman" w:hAnsi="Times New Roman" w:cs="Times New Roman"/>
          <w:b/>
          <w:sz w:val="30"/>
          <w:szCs w:val="30"/>
        </w:rPr>
        <w:tab/>
      </w:r>
      <w:r w:rsidR="00990A3A">
        <w:rPr>
          <w:rFonts w:ascii="Times New Roman" w:eastAsia="Times New Roman" w:hAnsi="Times New Roman" w:cs="Times New Roman"/>
          <w:b/>
          <w:sz w:val="30"/>
          <w:szCs w:val="30"/>
        </w:rPr>
        <w:tab/>
      </w:r>
      <w:r w:rsidR="00990A3A">
        <w:rPr>
          <w:rFonts w:ascii="Times New Roman" w:eastAsia="Times New Roman" w:hAnsi="Times New Roman" w:cs="Times New Roman"/>
          <w:b/>
          <w:sz w:val="30"/>
          <w:szCs w:val="30"/>
        </w:rPr>
        <w:tab/>
      </w:r>
      <w:r w:rsidR="00BF0FF4">
        <w:rPr>
          <w:rFonts w:ascii="Times New Roman" w:eastAsia="Times New Roman" w:hAnsi="Times New Roman" w:cs="Times New Roman"/>
          <w:b/>
          <w:sz w:val="30"/>
          <w:szCs w:val="30"/>
        </w:rPr>
        <w:t xml:space="preserve">   </w:t>
      </w:r>
      <w:r w:rsidR="00CC081C">
        <w:rPr>
          <w:rFonts w:ascii="Times New Roman" w:eastAsia="Times New Roman" w:hAnsi="Times New Roman" w:cs="Times New Roman"/>
          <w:b/>
          <w:sz w:val="30"/>
          <w:szCs w:val="30"/>
        </w:rPr>
        <w:t>First Quarter 202</w:t>
      </w:r>
      <w:r w:rsidR="00EF0248">
        <w:rPr>
          <w:rFonts w:ascii="Times New Roman" w:eastAsia="Times New Roman" w:hAnsi="Times New Roman" w:cs="Times New Roman"/>
          <w:b/>
          <w:sz w:val="30"/>
          <w:szCs w:val="30"/>
        </w:rPr>
        <w:t>2</w:t>
      </w:r>
      <w:r w:rsidR="00736645">
        <w:rPr>
          <w:rFonts w:ascii="Times New Roman" w:eastAsia="Times New Roman" w:hAnsi="Times New Roman" w:cs="Times New Roman"/>
          <w:b/>
          <w:sz w:val="30"/>
          <w:szCs w:val="30"/>
        </w:rPr>
        <w:br/>
      </w:r>
      <w:r w:rsidR="00BD50D9" w:rsidRPr="0040001C">
        <w:rPr>
          <w:rFonts w:ascii="Times New Roman" w:eastAsia="Times New Roman" w:hAnsi="Times New Roman" w:cs="Times New Roman"/>
          <w:sz w:val="16"/>
          <w:szCs w:val="16"/>
        </w:rPr>
        <w:br/>
      </w:r>
      <w:r w:rsidR="002409CC" w:rsidRPr="00E70C4A">
        <w:rPr>
          <w:rFonts w:ascii="Times New Roman" w:eastAsia="Times New Roman" w:hAnsi="Times New Roman" w:cs="Times New Roman"/>
          <w:sz w:val="27"/>
          <w:szCs w:val="27"/>
        </w:rPr>
        <w:t xml:space="preserve">WETHERSFIELD, </w:t>
      </w:r>
      <w:r w:rsidR="00D83E56">
        <w:rPr>
          <w:rFonts w:ascii="Times New Roman" w:eastAsia="Times New Roman" w:hAnsi="Times New Roman" w:cs="Times New Roman"/>
          <w:sz w:val="27"/>
          <w:szCs w:val="27"/>
        </w:rPr>
        <w:t>October</w:t>
      </w:r>
      <w:r w:rsidR="006414CB">
        <w:rPr>
          <w:rFonts w:ascii="Times New Roman" w:eastAsia="Times New Roman" w:hAnsi="Times New Roman" w:cs="Times New Roman"/>
          <w:sz w:val="27"/>
          <w:szCs w:val="27"/>
        </w:rPr>
        <w:t xml:space="preserve"> 2</w:t>
      </w:r>
      <w:r w:rsidR="00EF0248">
        <w:rPr>
          <w:rFonts w:ascii="Times New Roman" w:eastAsia="Times New Roman" w:hAnsi="Times New Roman" w:cs="Times New Roman"/>
          <w:sz w:val="27"/>
          <w:szCs w:val="27"/>
        </w:rPr>
        <w:t>8</w:t>
      </w:r>
      <w:r w:rsidR="00230875" w:rsidRPr="00230875">
        <w:rPr>
          <w:rFonts w:ascii="Times New Roman" w:eastAsia="Times New Roman" w:hAnsi="Times New Roman" w:cs="Times New Roman"/>
          <w:sz w:val="27"/>
          <w:szCs w:val="27"/>
          <w:vertAlign w:val="superscript"/>
        </w:rPr>
        <w:t>th</w:t>
      </w:r>
      <w:r w:rsidR="00842AE0">
        <w:rPr>
          <w:rFonts w:ascii="Times New Roman" w:eastAsia="Times New Roman" w:hAnsi="Times New Roman" w:cs="Times New Roman"/>
          <w:sz w:val="27"/>
          <w:szCs w:val="27"/>
        </w:rPr>
        <w:t>, 20</w:t>
      </w:r>
      <w:r w:rsidR="00B46F5A">
        <w:rPr>
          <w:rFonts w:ascii="Times New Roman" w:eastAsia="Times New Roman" w:hAnsi="Times New Roman" w:cs="Times New Roman"/>
          <w:sz w:val="27"/>
          <w:szCs w:val="27"/>
        </w:rPr>
        <w:t>2</w:t>
      </w:r>
      <w:r w:rsidR="00EF0248">
        <w:rPr>
          <w:rFonts w:ascii="Times New Roman" w:eastAsia="Times New Roman" w:hAnsi="Times New Roman" w:cs="Times New Roman"/>
          <w:sz w:val="27"/>
          <w:szCs w:val="27"/>
        </w:rPr>
        <w:t>2</w:t>
      </w:r>
      <w:r w:rsidR="002D43D7" w:rsidRPr="00E70C4A">
        <w:rPr>
          <w:rFonts w:ascii="Times New Roman" w:eastAsia="Times New Roman" w:hAnsi="Times New Roman" w:cs="Times New Roman"/>
          <w:sz w:val="27"/>
          <w:szCs w:val="27"/>
        </w:rPr>
        <w:t xml:space="preserve"> - </w:t>
      </w:r>
      <w:r w:rsidR="006765A2" w:rsidRPr="00E70C4A">
        <w:rPr>
          <w:rFonts w:ascii="Times New Roman" w:eastAsia="Times New Roman" w:hAnsi="Times New Roman" w:cs="Times New Roman"/>
          <w:sz w:val="27"/>
          <w:szCs w:val="27"/>
        </w:rPr>
        <w:t>Business Employment Dynamics (BED) data published quarterly by</w:t>
      </w:r>
      <w:r w:rsidR="00147FED" w:rsidRPr="00E70C4A">
        <w:rPr>
          <w:rFonts w:ascii="Times New Roman" w:eastAsia="Times New Roman" w:hAnsi="Times New Roman" w:cs="Times New Roman"/>
          <w:sz w:val="27"/>
          <w:szCs w:val="27"/>
        </w:rPr>
        <w:t xml:space="preserve"> the Bureau of Labor Statistics tracks employment change </w:t>
      </w:r>
      <w:r w:rsidR="006765A2" w:rsidRPr="00E70C4A">
        <w:rPr>
          <w:rFonts w:ascii="Times New Roman" w:eastAsia="Times New Roman" w:hAnsi="Times New Roman" w:cs="Times New Roman"/>
          <w:sz w:val="27"/>
          <w:szCs w:val="27"/>
        </w:rPr>
        <w:t>at the establishment level and reveals the underlying dynamics of net employment change.</w:t>
      </w:r>
      <w:r w:rsidR="000B3C0E" w:rsidRPr="00E70C4A">
        <w:rPr>
          <w:rFonts w:ascii="Times New Roman" w:eastAsia="Times New Roman" w:hAnsi="Times New Roman" w:cs="Times New Roman"/>
          <w:sz w:val="27"/>
          <w:szCs w:val="27"/>
        </w:rPr>
        <w:t xml:space="preserve">  The data include</w:t>
      </w:r>
      <w:r w:rsidR="00147FED" w:rsidRPr="00E70C4A">
        <w:rPr>
          <w:rFonts w:ascii="Times New Roman" w:eastAsia="Times New Roman" w:hAnsi="Times New Roman" w:cs="Times New Roman"/>
          <w:sz w:val="27"/>
          <w:szCs w:val="27"/>
        </w:rPr>
        <w:t xml:space="preserve"> gross employment change, bus</w:t>
      </w:r>
      <w:r w:rsidR="000B3C0E" w:rsidRPr="00E70C4A">
        <w:rPr>
          <w:rFonts w:ascii="Times New Roman" w:eastAsia="Times New Roman" w:hAnsi="Times New Roman" w:cs="Times New Roman"/>
          <w:sz w:val="27"/>
          <w:szCs w:val="27"/>
        </w:rPr>
        <w:t>iness expansion/contraction, establishment birth/death, and is available at sector level.</w:t>
      </w:r>
      <w:r w:rsidR="003217F1" w:rsidRPr="00E70C4A">
        <w:rPr>
          <w:rFonts w:ascii="Times New Roman" w:eastAsia="Times New Roman" w:hAnsi="Times New Roman" w:cs="Times New Roman"/>
          <w:sz w:val="27"/>
          <w:szCs w:val="27"/>
        </w:rPr>
        <w:t xml:space="preserve"> </w:t>
      </w:r>
      <w:r w:rsidR="0040001C" w:rsidRPr="00E70C4A">
        <w:rPr>
          <w:rFonts w:ascii="Times New Roman" w:eastAsia="Times New Roman" w:hAnsi="Times New Roman" w:cs="Times New Roman"/>
          <w:sz w:val="27"/>
          <w:szCs w:val="27"/>
        </w:rPr>
        <w:br/>
      </w:r>
      <w:r w:rsidR="00BD50D9" w:rsidRPr="00E70C4A">
        <w:rPr>
          <w:rFonts w:ascii="Times New Roman" w:eastAsia="Times New Roman" w:hAnsi="Times New Roman" w:cs="Times New Roman"/>
          <w:sz w:val="27"/>
          <w:szCs w:val="27"/>
        </w:rPr>
        <w:br/>
      </w:r>
      <w:r w:rsidR="007C32D0" w:rsidRPr="00E70C4A">
        <w:rPr>
          <w:rFonts w:ascii="Times New Roman" w:eastAsia="Times New Roman" w:hAnsi="Times New Roman" w:cs="Times New Roman"/>
          <w:sz w:val="27"/>
          <w:szCs w:val="27"/>
        </w:rPr>
        <w:t>From</w:t>
      </w:r>
      <w:r w:rsidR="00177E30" w:rsidRPr="00E70C4A">
        <w:rPr>
          <w:rFonts w:ascii="Times New Roman" w:eastAsia="Times New Roman" w:hAnsi="Times New Roman" w:cs="Times New Roman"/>
          <w:sz w:val="27"/>
          <w:szCs w:val="27"/>
        </w:rPr>
        <w:t xml:space="preserve"> </w:t>
      </w:r>
      <w:r w:rsidR="00D83E56">
        <w:rPr>
          <w:rFonts w:ascii="Times New Roman" w:eastAsia="Times New Roman" w:hAnsi="Times New Roman" w:cs="Times New Roman"/>
          <w:sz w:val="27"/>
          <w:szCs w:val="27"/>
        </w:rPr>
        <w:t>January</w:t>
      </w:r>
      <w:r w:rsidR="002673EC">
        <w:rPr>
          <w:rFonts w:ascii="Times New Roman" w:eastAsia="Times New Roman" w:hAnsi="Times New Roman" w:cs="Times New Roman"/>
          <w:sz w:val="27"/>
          <w:szCs w:val="27"/>
        </w:rPr>
        <w:t xml:space="preserve"> </w:t>
      </w:r>
      <w:r w:rsidR="00EF0248">
        <w:rPr>
          <w:rFonts w:ascii="Times New Roman" w:eastAsia="Times New Roman" w:hAnsi="Times New Roman" w:cs="Times New Roman"/>
          <w:sz w:val="27"/>
          <w:szCs w:val="27"/>
        </w:rPr>
        <w:t>2022</w:t>
      </w:r>
      <w:r w:rsidR="00842AE0">
        <w:rPr>
          <w:rFonts w:ascii="Times New Roman" w:eastAsia="Times New Roman" w:hAnsi="Times New Roman" w:cs="Times New Roman"/>
          <w:sz w:val="27"/>
          <w:szCs w:val="27"/>
        </w:rPr>
        <w:t xml:space="preserve"> to </w:t>
      </w:r>
      <w:r w:rsidR="00D83E56">
        <w:rPr>
          <w:rFonts w:ascii="Times New Roman" w:eastAsia="Times New Roman" w:hAnsi="Times New Roman" w:cs="Times New Roman"/>
          <w:sz w:val="27"/>
          <w:szCs w:val="27"/>
        </w:rPr>
        <w:t>March</w:t>
      </w:r>
      <w:r w:rsidR="00260A7E">
        <w:rPr>
          <w:rFonts w:ascii="Times New Roman" w:eastAsia="Times New Roman" w:hAnsi="Times New Roman" w:cs="Times New Roman"/>
          <w:sz w:val="27"/>
          <w:szCs w:val="27"/>
        </w:rPr>
        <w:t xml:space="preserve"> </w:t>
      </w:r>
      <w:r w:rsidR="00EF0248">
        <w:rPr>
          <w:rFonts w:ascii="Times New Roman" w:eastAsia="Times New Roman" w:hAnsi="Times New Roman" w:cs="Times New Roman"/>
          <w:sz w:val="27"/>
          <w:szCs w:val="27"/>
        </w:rPr>
        <w:t>2022</w:t>
      </w:r>
      <w:r w:rsidR="006E2670" w:rsidRPr="00E70C4A">
        <w:rPr>
          <w:rFonts w:ascii="Times New Roman" w:eastAsia="Times New Roman" w:hAnsi="Times New Roman" w:cs="Times New Roman"/>
          <w:sz w:val="27"/>
          <w:szCs w:val="27"/>
        </w:rPr>
        <w:t xml:space="preserve">, </w:t>
      </w:r>
      <w:r w:rsidR="006E2670" w:rsidRPr="00E70C4A">
        <w:rPr>
          <w:rFonts w:ascii="Times New Roman" w:eastAsia="Times New Roman" w:hAnsi="Times New Roman" w:cs="Times New Roman"/>
          <w:b/>
          <w:sz w:val="27"/>
          <w:szCs w:val="27"/>
        </w:rPr>
        <w:t>gross job gains</w:t>
      </w:r>
      <w:r w:rsidR="006E2670" w:rsidRPr="00E70C4A">
        <w:rPr>
          <w:rFonts w:ascii="Times New Roman" w:eastAsia="Times New Roman" w:hAnsi="Times New Roman" w:cs="Times New Roman"/>
          <w:sz w:val="27"/>
          <w:szCs w:val="27"/>
        </w:rPr>
        <w:t xml:space="preserve"> from opening and expanding pr</w:t>
      </w:r>
      <w:r w:rsidR="008A71B4" w:rsidRPr="00E70C4A">
        <w:rPr>
          <w:rFonts w:ascii="Times New Roman" w:eastAsia="Times New Roman" w:hAnsi="Times New Roman" w:cs="Times New Roman"/>
          <w:sz w:val="27"/>
          <w:szCs w:val="27"/>
        </w:rPr>
        <w:t xml:space="preserve">ivate sector establishments </w:t>
      </w:r>
      <w:r w:rsidR="00033251" w:rsidRPr="00E70C4A">
        <w:rPr>
          <w:rFonts w:ascii="Times New Roman" w:eastAsia="Times New Roman" w:hAnsi="Times New Roman" w:cs="Times New Roman"/>
          <w:sz w:val="27"/>
          <w:szCs w:val="27"/>
        </w:rPr>
        <w:t xml:space="preserve">in Connecticut </w:t>
      </w:r>
      <w:r w:rsidR="008A71B4" w:rsidRPr="00E70C4A">
        <w:rPr>
          <w:rFonts w:ascii="Times New Roman" w:eastAsia="Times New Roman" w:hAnsi="Times New Roman" w:cs="Times New Roman"/>
          <w:sz w:val="27"/>
          <w:szCs w:val="27"/>
        </w:rPr>
        <w:t>was</w:t>
      </w:r>
      <w:r w:rsidR="006E2670" w:rsidRPr="00E70C4A">
        <w:rPr>
          <w:rFonts w:ascii="Times New Roman" w:eastAsia="Times New Roman" w:hAnsi="Times New Roman" w:cs="Times New Roman"/>
          <w:sz w:val="27"/>
          <w:szCs w:val="27"/>
        </w:rPr>
        <w:t xml:space="preserve"> </w:t>
      </w:r>
      <w:r w:rsidR="007573DC">
        <w:rPr>
          <w:rFonts w:ascii="Times New Roman" w:eastAsia="Times New Roman" w:hAnsi="Times New Roman" w:cs="Times New Roman"/>
          <w:sz w:val="27"/>
          <w:szCs w:val="27"/>
        </w:rPr>
        <w:t>90,157</w:t>
      </w:r>
      <w:r w:rsidR="00C91631">
        <w:rPr>
          <w:rFonts w:ascii="Times New Roman" w:eastAsia="Times New Roman" w:hAnsi="Times New Roman" w:cs="Times New Roman"/>
          <w:sz w:val="27"/>
          <w:szCs w:val="27"/>
        </w:rPr>
        <w:t>,</w:t>
      </w:r>
      <w:r w:rsidR="00942737" w:rsidRPr="00E70C4A">
        <w:rPr>
          <w:rFonts w:ascii="Times New Roman" w:eastAsia="Times New Roman" w:hAnsi="Times New Roman" w:cs="Times New Roman"/>
          <w:sz w:val="27"/>
          <w:szCs w:val="27"/>
        </w:rPr>
        <w:t xml:space="preserve"> a</w:t>
      </w:r>
      <w:r w:rsidR="00724E27">
        <w:rPr>
          <w:rFonts w:ascii="Times New Roman" w:eastAsia="Times New Roman" w:hAnsi="Times New Roman" w:cs="Times New Roman"/>
          <w:sz w:val="27"/>
          <w:szCs w:val="27"/>
        </w:rPr>
        <w:t xml:space="preserve"> de</w:t>
      </w:r>
      <w:r w:rsidR="00135EB6" w:rsidRPr="00E70C4A">
        <w:rPr>
          <w:rFonts w:ascii="Times New Roman" w:eastAsia="Times New Roman" w:hAnsi="Times New Roman" w:cs="Times New Roman"/>
          <w:sz w:val="27"/>
          <w:szCs w:val="27"/>
        </w:rPr>
        <w:t xml:space="preserve">crease of </w:t>
      </w:r>
      <w:r w:rsidR="007573DC">
        <w:rPr>
          <w:rFonts w:ascii="Times New Roman" w:eastAsia="Times New Roman" w:hAnsi="Times New Roman" w:cs="Times New Roman"/>
          <w:sz w:val="27"/>
          <w:szCs w:val="27"/>
        </w:rPr>
        <w:t>5,854</w:t>
      </w:r>
      <w:r w:rsidR="006E2670" w:rsidRPr="00E70C4A">
        <w:rPr>
          <w:rFonts w:ascii="Times New Roman" w:eastAsia="Times New Roman" w:hAnsi="Times New Roman" w:cs="Times New Roman"/>
          <w:sz w:val="27"/>
          <w:szCs w:val="27"/>
        </w:rPr>
        <w:t xml:space="preserve"> jobs from the previous quarter</w:t>
      </w:r>
      <w:r w:rsidR="00D8500D">
        <w:rPr>
          <w:rFonts w:ascii="Times New Roman" w:eastAsia="Times New Roman" w:hAnsi="Times New Roman" w:cs="Times New Roman"/>
          <w:sz w:val="27"/>
          <w:szCs w:val="27"/>
        </w:rPr>
        <w:t xml:space="preserve">.  </w:t>
      </w:r>
      <w:r w:rsidR="006E2670" w:rsidRPr="00E70C4A">
        <w:rPr>
          <w:rFonts w:ascii="Times New Roman" w:eastAsia="Times New Roman" w:hAnsi="Times New Roman" w:cs="Times New Roman"/>
          <w:sz w:val="27"/>
          <w:szCs w:val="27"/>
        </w:rPr>
        <w:t xml:space="preserve">Over this period, </w:t>
      </w:r>
      <w:r w:rsidR="006E2670" w:rsidRPr="00E70C4A">
        <w:rPr>
          <w:rFonts w:ascii="Times New Roman" w:eastAsia="Times New Roman" w:hAnsi="Times New Roman" w:cs="Times New Roman"/>
          <w:b/>
          <w:sz w:val="27"/>
          <w:szCs w:val="27"/>
        </w:rPr>
        <w:t>gross job losses</w:t>
      </w:r>
      <w:r w:rsidR="006E2670" w:rsidRPr="00E70C4A">
        <w:rPr>
          <w:rFonts w:ascii="Times New Roman" w:eastAsia="Times New Roman" w:hAnsi="Times New Roman" w:cs="Times New Roman"/>
          <w:sz w:val="27"/>
          <w:szCs w:val="27"/>
        </w:rPr>
        <w:t xml:space="preserve"> from closing and contracting private sector establishments </w:t>
      </w:r>
      <w:r w:rsidR="00120C3C" w:rsidRPr="00E70C4A">
        <w:rPr>
          <w:rFonts w:ascii="Times New Roman" w:eastAsia="Times New Roman" w:hAnsi="Times New Roman" w:cs="Times New Roman"/>
          <w:sz w:val="27"/>
          <w:szCs w:val="27"/>
        </w:rPr>
        <w:t>was</w:t>
      </w:r>
      <w:r w:rsidR="00917176">
        <w:rPr>
          <w:rFonts w:ascii="Times New Roman" w:eastAsia="Times New Roman" w:hAnsi="Times New Roman" w:cs="Times New Roman"/>
          <w:sz w:val="27"/>
          <w:szCs w:val="27"/>
        </w:rPr>
        <w:t xml:space="preserve"> </w:t>
      </w:r>
      <w:r w:rsidR="00D83E56">
        <w:rPr>
          <w:rFonts w:ascii="Times New Roman" w:eastAsia="Times New Roman" w:hAnsi="Times New Roman" w:cs="Times New Roman"/>
          <w:sz w:val="27"/>
          <w:szCs w:val="27"/>
        </w:rPr>
        <w:t>7</w:t>
      </w:r>
      <w:r w:rsidR="007573DC">
        <w:rPr>
          <w:rFonts w:ascii="Times New Roman" w:eastAsia="Times New Roman" w:hAnsi="Times New Roman" w:cs="Times New Roman"/>
          <w:sz w:val="27"/>
          <w:szCs w:val="27"/>
        </w:rPr>
        <w:t>4,954</w:t>
      </w:r>
      <w:r w:rsidR="00714CDA">
        <w:rPr>
          <w:rFonts w:ascii="Times New Roman" w:eastAsia="Times New Roman" w:hAnsi="Times New Roman" w:cs="Times New Roman"/>
          <w:sz w:val="27"/>
          <w:szCs w:val="27"/>
        </w:rPr>
        <w:t xml:space="preserve">, </w:t>
      </w:r>
      <w:r w:rsidR="007573DC">
        <w:rPr>
          <w:rFonts w:ascii="Times New Roman" w:eastAsia="Times New Roman" w:hAnsi="Times New Roman" w:cs="Times New Roman"/>
          <w:sz w:val="27"/>
          <w:szCs w:val="27"/>
        </w:rPr>
        <w:t>an in</w:t>
      </w:r>
      <w:r w:rsidR="00E950E5" w:rsidRPr="00E70C4A">
        <w:rPr>
          <w:rFonts w:ascii="Times New Roman" w:eastAsia="Times New Roman" w:hAnsi="Times New Roman" w:cs="Times New Roman"/>
          <w:sz w:val="27"/>
          <w:szCs w:val="27"/>
        </w:rPr>
        <w:t>c</w:t>
      </w:r>
      <w:r w:rsidR="002D0151" w:rsidRPr="00E70C4A">
        <w:rPr>
          <w:rFonts w:ascii="Times New Roman" w:eastAsia="Times New Roman" w:hAnsi="Times New Roman" w:cs="Times New Roman"/>
          <w:sz w:val="27"/>
          <w:szCs w:val="27"/>
        </w:rPr>
        <w:t xml:space="preserve">rease </w:t>
      </w:r>
      <w:r w:rsidR="007A3266">
        <w:rPr>
          <w:rFonts w:ascii="Times New Roman" w:eastAsia="Times New Roman" w:hAnsi="Times New Roman" w:cs="Times New Roman"/>
          <w:sz w:val="27"/>
          <w:szCs w:val="27"/>
        </w:rPr>
        <w:t>of</w:t>
      </w:r>
      <w:r w:rsidR="00382E0C">
        <w:rPr>
          <w:rFonts w:ascii="Times New Roman" w:eastAsia="Times New Roman" w:hAnsi="Times New Roman" w:cs="Times New Roman"/>
          <w:sz w:val="27"/>
          <w:szCs w:val="27"/>
        </w:rPr>
        <w:t xml:space="preserve"> </w:t>
      </w:r>
      <w:r w:rsidR="007573DC">
        <w:rPr>
          <w:rFonts w:ascii="Times New Roman" w:eastAsia="Times New Roman" w:hAnsi="Times New Roman" w:cs="Times New Roman"/>
          <w:sz w:val="27"/>
          <w:szCs w:val="27"/>
        </w:rPr>
        <w:t>522</w:t>
      </w:r>
      <w:r w:rsidR="00520D02">
        <w:rPr>
          <w:rFonts w:ascii="Times New Roman" w:eastAsia="Times New Roman" w:hAnsi="Times New Roman" w:cs="Times New Roman"/>
          <w:sz w:val="27"/>
          <w:szCs w:val="27"/>
        </w:rPr>
        <w:t xml:space="preserve"> </w:t>
      </w:r>
      <w:r w:rsidR="006E2670" w:rsidRPr="00E70C4A">
        <w:rPr>
          <w:rFonts w:ascii="Times New Roman" w:eastAsia="Times New Roman" w:hAnsi="Times New Roman" w:cs="Times New Roman"/>
          <w:sz w:val="27"/>
          <w:szCs w:val="27"/>
        </w:rPr>
        <w:t xml:space="preserve">jobs from the previous quarter. </w:t>
      </w:r>
      <w:r w:rsidR="008E78F9">
        <w:rPr>
          <w:rFonts w:ascii="Times New Roman" w:eastAsia="Times New Roman" w:hAnsi="Times New Roman" w:cs="Times New Roman"/>
          <w:sz w:val="27"/>
          <w:szCs w:val="27"/>
        </w:rPr>
        <w:br/>
      </w:r>
      <w:r w:rsidR="00520D02">
        <w:rPr>
          <w:rFonts w:ascii="Times New Roman" w:eastAsia="Times New Roman" w:hAnsi="Times New Roman" w:cs="Times New Roman"/>
          <w:sz w:val="27"/>
          <w:szCs w:val="27"/>
        </w:rPr>
        <w:br/>
        <w:t xml:space="preserve">During the </w:t>
      </w:r>
      <w:r w:rsidR="00724E27">
        <w:rPr>
          <w:rFonts w:ascii="Times New Roman" w:eastAsia="Times New Roman" w:hAnsi="Times New Roman" w:cs="Times New Roman"/>
          <w:sz w:val="27"/>
          <w:szCs w:val="27"/>
        </w:rPr>
        <w:t>f</w:t>
      </w:r>
      <w:r w:rsidR="00A97C6E">
        <w:rPr>
          <w:rFonts w:ascii="Times New Roman" w:eastAsia="Times New Roman" w:hAnsi="Times New Roman" w:cs="Times New Roman"/>
          <w:sz w:val="27"/>
          <w:szCs w:val="27"/>
        </w:rPr>
        <w:t>irst</w:t>
      </w:r>
      <w:r w:rsidR="00B03A07">
        <w:rPr>
          <w:rFonts w:ascii="Times New Roman" w:eastAsia="Times New Roman" w:hAnsi="Times New Roman" w:cs="Times New Roman"/>
          <w:sz w:val="27"/>
          <w:szCs w:val="27"/>
        </w:rPr>
        <w:t xml:space="preserve"> quarter</w:t>
      </w:r>
      <w:r w:rsidR="00520D02">
        <w:rPr>
          <w:rFonts w:ascii="Times New Roman" w:eastAsia="Times New Roman" w:hAnsi="Times New Roman" w:cs="Times New Roman"/>
          <w:sz w:val="27"/>
          <w:szCs w:val="27"/>
        </w:rPr>
        <w:t xml:space="preserve"> of </w:t>
      </w:r>
      <w:r w:rsidR="00EF0248">
        <w:rPr>
          <w:rFonts w:ascii="Times New Roman" w:eastAsia="Times New Roman" w:hAnsi="Times New Roman" w:cs="Times New Roman"/>
          <w:sz w:val="27"/>
          <w:szCs w:val="27"/>
        </w:rPr>
        <w:t>2022</w:t>
      </w:r>
      <w:r w:rsidR="00D729B1">
        <w:rPr>
          <w:rFonts w:ascii="Times New Roman" w:eastAsia="Times New Roman" w:hAnsi="Times New Roman" w:cs="Times New Roman"/>
          <w:sz w:val="27"/>
          <w:szCs w:val="27"/>
        </w:rPr>
        <w:t>,</w:t>
      </w:r>
      <w:r w:rsidR="00A97C6E">
        <w:rPr>
          <w:rFonts w:ascii="Times New Roman" w:eastAsia="Times New Roman" w:hAnsi="Times New Roman" w:cs="Times New Roman"/>
          <w:sz w:val="27"/>
          <w:szCs w:val="27"/>
        </w:rPr>
        <w:t xml:space="preserve"> the</w:t>
      </w:r>
      <w:r w:rsidR="006E2670" w:rsidRPr="00E70C4A">
        <w:rPr>
          <w:rFonts w:ascii="Times New Roman" w:eastAsia="Times New Roman" w:hAnsi="Times New Roman" w:cs="Times New Roman"/>
          <w:sz w:val="27"/>
          <w:szCs w:val="27"/>
        </w:rPr>
        <w:t xml:space="preserve"> </w:t>
      </w:r>
      <w:r w:rsidR="00516C85" w:rsidRPr="00E70C4A">
        <w:rPr>
          <w:rFonts w:ascii="Times New Roman" w:eastAsia="Times New Roman" w:hAnsi="Times New Roman" w:cs="Times New Roman"/>
          <w:sz w:val="27"/>
          <w:szCs w:val="27"/>
        </w:rPr>
        <w:t>difference between gross job gains and</w:t>
      </w:r>
      <w:r w:rsidR="006E2670" w:rsidRPr="00E70C4A">
        <w:rPr>
          <w:rFonts w:ascii="Times New Roman" w:eastAsia="Times New Roman" w:hAnsi="Times New Roman" w:cs="Times New Roman"/>
          <w:sz w:val="27"/>
          <w:szCs w:val="27"/>
        </w:rPr>
        <w:t xml:space="preserve"> gross job losses </w:t>
      </w:r>
      <w:r w:rsidR="00A6186F">
        <w:rPr>
          <w:rFonts w:ascii="Times New Roman" w:eastAsia="Times New Roman" w:hAnsi="Times New Roman" w:cs="Times New Roman"/>
          <w:sz w:val="27"/>
          <w:szCs w:val="27"/>
        </w:rPr>
        <w:t>yield</w:t>
      </w:r>
      <w:r w:rsidR="00D729B1">
        <w:rPr>
          <w:rFonts w:ascii="Times New Roman" w:eastAsia="Times New Roman" w:hAnsi="Times New Roman" w:cs="Times New Roman"/>
          <w:sz w:val="27"/>
          <w:szCs w:val="27"/>
        </w:rPr>
        <w:t>ed</w:t>
      </w:r>
      <w:r w:rsidR="00D94108" w:rsidRPr="00E70C4A">
        <w:rPr>
          <w:rFonts w:ascii="Times New Roman" w:eastAsia="Times New Roman" w:hAnsi="Times New Roman" w:cs="Times New Roman"/>
          <w:sz w:val="27"/>
          <w:szCs w:val="27"/>
        </w:rPr>
        <w:t xml:space="preserve"> a </w:t>
      </w:r>
      <w:r w:rsidR="00D94108" w:rsidRPr="00E70C4A">
        <w:rPr>
          <w:rFonts w:ascii="Times New Roman" w:eastAsia="Times New Roman" w:hAnsi="Times New Roman" w:cs="Times New Roman"/>
          <w:b/>
          <w:sz w:val="27"/>
          <w:szCs w:val="27"/>
        </w:rPr>
        <w:t>net</w:t>
      </w:r>
      <w:r w:rsidR="006E2670" w:rsidRPr="00E70C4A">
        <w:rPr>
          <w:rFonts w:ascii="Times New Roman" w:eastAsia="Times New Roman" w:hAnsi="Times New Roman" w:cs="Times New Roman"/>
          <w:sz w:val="27"/>
          <w:szCs w:val="27"/>
        </w:rPr>
        <w:t xml:space="preserve"> </w:t>
      </w:r>
      <w:r w:rsidR="006E2670" w:rsidRPr="00E70C4A">
        <w:rPr>
          <w:rFonts w:ascii="Times New Roman" w:eastAsia="Times New Roman" w:hAnsi="Times New Roman" w:cs="Times New Roman"/>
          <w:b/>
          <w:sz w:val="27"/>
          <w:szCs w:val="27"/>
        </w:rPr>
        <w:t>employment</w:t>
      </w:r>
      <w:r w:rsidR="00E23735">
        <w:rPr>
          <w:rFonts w:ascii="Times New Roman" w:eastAsia="Times New Roman" w:hAnsi="Times New Roman" w:cs="Times New Roman"/>
          <w:b/>
          <w:sz w:val="27"/>
          <w:szCs w:val="27"/>
        </w:rPr>
        <w:t xml:space="preserve"> </w:t>
      </w:r>
      <w:r w:rsidR="00382E0C">
        <w:rPr>
          <w:rFonts w:ascii="Times New Roman" w:eastAsia="Times New Roman" w:hAnsi="Times New Roman" w:cs="Times New Roman"/>
          <w:b/>
          <w:sz w:val="27"/>
          <w:szCs w:val="27"/>
        </w:rPr>
        <w:t>gain</w:t>
      </w:r>
      <w:r w:rsidR="002D0151" w:rsidRPr="00E70C4A">
        <w:rPr>
          <w:rFonts w:ascii="Times New Roman" w:eastAsia="Times New Roman" w:hAnsi="Times New Roman" w:cs="Times New Roman"/>
          <w:sz w:val="27"/>
          <w:szCs w:val="27"/>
        </w:rPr>
        <w:t xml:space="preserve"> o</w:t>
      </w:r>
      <w:r w:rsidR="00724E27">
        <w:rPr>
          <w:rFonts w:ascii="Times New Roman" w:eastAsia="Times New Roman" w:hAnsi="Times New Roman" w:cs="Times New Roman"/>
          <w:sz w:val="27"/>
          <w:szCs w:val="27"/>
        </w:rPr>
        <w:t xml:space="preserve">f </w:t>
      </w:r>
      <w:r w:rsidR="00A97C6E">
        <w:rPr>
          <w:rFonts w:ascii="Times New Roman" w:eastAsia="Times New Roman" w:hAnsi="Times New Roman" w:cs="Times New Roman"/>
          <w:sz w:val="27"/>
          <w:szCs w:val="27"/>
        </w:rPr>
        <w:t>1</w:t>
      </w:r>
      <w:r w:rsidR="007573DC">
        <w:rPr>
          <w:rFonts w:ascii="Times New Roman" w:eastAsia="Times New Roman" w:hAnsi="Times New Roman" w:cs="Times New Roman"/>
          <w:sz w:val="27"/>
          <w:szCs w:val="27"/>
        </w:rPr>
        <w:t>5,203</w:t>
      </w:r>
      <w:r w:rsidR="006E2670" w:rsidRPr="00E70C4A">
        <w:rPr>
          <w:rFonts w:ascii="Times New Roman" w:eastAsia="Times New Roman" w:hAnsi="Times New Roman" w:cs="Times New Roman"/>
          <w:sz w:val="27"/>
          <w:szCs w:val="27"/>
        </w:rPr>
        <w:t xml:space="preserve"> jobs i</w:t>
      </w:r>
      <w:r w:rsidR="00D729B1">
        <w:rPr>
          <w:rFonts w:ascii="Times New Roman" w:eastAsia="Times New Roman" w:hAnsi="Times New Roman" w:cs="Times New Roman"/>
          <w:sz w:val="27"/>
          <w:szCs w:val="27"/>
        </w:rPr>
        <w:t>n the private sector</w:t>
      </w:r>
      <w:r w:rsidR="005A3C8B" w:rsidRPr="00E70C4A">
        <w:rPr>
          <w:rFonts w:ascii="Times New Roman" w:eastAsia="Times New Roman" w:hAnsi="Times New Roman" w:cs="Times New Roman"/>
          <w:sz w:val="27"/>
          <w:szCs w:val="27"/>
        </w:rPr>
        <w:t>.</w:t>
      </w:r>
      <w:r w:rsidR="00A96094" w:rsidRPr="00E70C4A">
        <w:rPr>
          <w:rFonts w:ascii="Times New Roman" w:eastAsia="Times New Roman" w:hAnsi="Times New Roman" w:cs="Times New Roman"/>
          <w:sz w:val="27"/>
          <w:szCs w:val="27"/>
        </w:rPr>
        <w:t xml:space="preserve">  </w:t>
      </w:r>
      <w:r w:rsidR="00B13F20">
        <w:rPr>
          <w:rFonts w:ascii="Times New Roman" w:eastAsia="Times New Roman" w:hAnsi="Times New Roman" w:cs="Times New Roman"/>
          <w:sz w:val="27"/>
          <w:szCs w:val="27"/>
        </w:rPr>
        <w:t>This</w:t>
      </w:r>
      <w:r w:rsidR="00382E0C">
        <w:rPr>
          <w:rFonts w:ascii="Times New Roman" w:eastAsia="Times New Roman" w:hAnsi="Times New Roman" w:cs="Times New Roman"/>
          <w:sz w:val="27"/>
          <w:szCs w:val="27"/>
        </w:rPr>
        <w:t xml:space="preserve"> net increase</w:t>
      </w:r>
      <w:r w:rsidR="00B6048B">
        <w:rPr>
          <w:rFonts w:ascii="Times New Roman" w:eastAsia="Times New Roman" w:hAnsi="Times New Roman" w:cs="Times New Roman"/>
          <w:sz w:val="27"/>
          <w:szCs w:val="27"/>
        </w:rPr>
        <w:t xml:space="preserve"> </w:t>
      </w:r>
      <w:r w:rsidR="00382E0C">
        <w:rPr>
          <w:rFonts w:ascii="Times New Roman" w:eastAsia="Times New Roman" w:hAnsi="Times New Roman" w:cs="Times New Roman"/>
          <w:sz w:val="27"/>
          <w:szCs w:val="27"/>
        </w:rPr>
        <w:t xml:space="preserve">follows a </w:t>
      </w:r>
      <w:r w:rsidR="007573DC">
        <w:rPr>
          <w:rFonts w:ascii="Times New Roman" w:eastAsia="Times New Roman" w:hAnsi="Times New Roman" w:cs="Times New Roman"/>
          <w:sz w:val="27"/>
          <w:szCs w:val="27"/>
        </w:rPr>
        <w:t>21,579</w:t>
      </w:r>
      <w:r w:rsidR="00382E0C">
        <w:rPr>
          <w:rFonts w:ascii="Times New Roman" w:eastAsia="Times New Roman" w:hAnsi="Times New Roman" w:cs="Times New Roman"/>
          <w:sz w:val="27"/>
          <w:szCs w:val="27"/>
        </w:rPr>
        <w:t xml:space="preserve"> net </w:t>
      </w:r>
      <w:r w:rsidR="00724E27">
        <w:rPr>
          <w:rFonts w:ascii="Times New Roman" w:eastAsia="Times New Roman" w:hAnsi="Times New Roman" w:cs="Times New Roman"/>
          <w:sz w:val="27"/>
          <w:szCs w:val="27"/>
        </w:rPr>
        <w:t>in</w:t>
      </w:r>
      <w:r w:rsidR="00382E0C">
        <w:rPr>
          <w:rFonts w:ascii="Times New Roman" w:eastAsia="Times New Roman" w:hAnsi="Times New Roman" w:cs="Times New Roman"/>
          <w:sz w:val="27"/>
          <w:szCs w:val="27"/>
        </w:rPr>
        <w:t>crease</w:t>
      </w:r>
      <w:r w:rsidR="00B6048B">
        <w:rPr>
          <w:rFonts w:ascii="Times New Roman" w:eastAsia="Times New Roman" w:hAnsi="Times New Roman" w:cs="Times New Roman"/>
          <w:sz w:val="27"/>
          <w:szCs w:val="27"/>
        </w:rPr>
        <w:t xml:space="preserve"> </w:t>
      </w:r>
      <w:r w:rsidR="00382E0C">
        <w:rPr>
          <w:rFonts w:ascii="Times New Roman" w:eastAsia="Times New Roman" w:hAnsi="Times New Roman" w:cs="Times New Roman"/>
          <w:sz w:val="27"/>
          <w:szCs w:val="27"/>
        </w:rPr>
        <w:t xml:space="preserve">during the </w:t>
      </w:r>
      <w:r w:rsidR="00A97C6E">
        <w:rPr>
          <w:rFonts w:ascii="Times New Roman" w:eastAsia="Times New Roman" w:hAnsi="Times New Roman" w:cs="Times New Roman"/>
          <w:sz w:val="27"/>
          <w:szCs w:val="27"/>
        </w:rPr>
        <w:t>fourth</w:t>
      </w:r>
      <w:r w:rsidR="00382E0C">
        <w:rPr>
          <w:rFonts w:ascii="Times New Roman" w:eastAsia="Times New Roman" w:hAnsi="Times New Roman" w:cs="Times New Roman"/>
          <w:sz w:val="27"/>
          <w:szCs w:val="27"/>
        </w:rPr>
        <w:t xml:space="preserve"> quarter of 202</w:t>
      </w:r>
      <w:r w:rsidR="007573DC">
        <w:rPr>
          <w:rFonts w:ascii="Times New Roman" w:eastAsia="Times New Roman" w:hAnsi="Times New Roman" w:cs="Times New Roman"/>
          <w:sz w:val="27"/>
          <w:szCs w:val="27"/>
        </w:rPr>
        <w:t>1</w:t>
      </w:r>
      <w:r w:rsidR="00A97C6E">
        <w:rPr>
          <w:rFonts w:ascii="Times New Roman" w:eastAsia="Times New Roman" w:hAnsi="Times New Roman" w:cs="Times New Roman"/>
          <w:sz w:val="27"/>
          <w:szCs w:val="27"/>
        </w:rPr>
        <w:t xml:space="preserve">.  </w:t>
      </w:r>
    </w:p>
    <w:p w14:paraId="62F44E3A" w14:textId="040E9193" w:rsidR="00A97C6E" w:rsidRDefault="00D729B1" w:rsidP="009C0C2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7"/>
          <w:szCs w:val="27"/>
        </w:rPr>
        <w:br/>
      </w:r>
      <w:r w:rsidR="00A97C6E">
        <w:rPr>
          <w:rFonts w:ascii="Times New Roman" w:eastAsia="Times New Roman" w:hAnsi="Times New Roman" w:cs="Times New Roman"/>
          <w:sz w:val="27"/>
          <w:szCs w:val="27"/>
        </w:rPr>
        <w:t>Net employment change reached a low of -20</w:t>
      </w:r>
      <w:r w:rsidR="007573DC">
        <w:rPr>
          <w:rFonts w:ascii="Times New Roman" w:eastAsia="Times New Roman" w:hAnsi="Times New Roman" w:cs="Times New Roman"/>
          <w:sz w:val="27"/>
          <w:szCs w:val="27"/>
        </w:rPr>
        <w:t>4,996</w:t>
      </w:r>
      <w:r w:rsidR="00A97C6E">
        <w:rPr>
          <w:rFonts w:ascii="Times New Roman" w:eastAsia="Times New Roman" w:hAnsi="Times New Roman" w:cs="Times New Roman"/>
          <w:sz w:val="27"/>
          <w:szCs w:val="27"/>
        </w:rPr>
        <w:t xml:space="preserve"> during the second quarter of 2020.  The combined net change for the </w:t>
      </w:r>
      <w:r w:rsidR="007573DC">
        <w:rPr>
          <w:rFonts w:ascii="Times New Roman" w:eastAsia="Times New Roman" w:hAnsi="Times New Roman" w:cs="Times New Roman"/>
          <w:sz w:val="27"/>
          <w:szCs w:val="27"/>
        </w:rPr>
        <w:t>seven</w:t>
      </w:r>
      <w:r w:rsidR="00A97C6E">
        <w:rPr>
          <w:rFonts w:ascii="Times New Roman" w:eastAsia="Times New Roman" w:hAnsi="Times New Roman" w:cs="Times New Roman"/>
          <w:sz w:val="27"/>
          <w:szCs w:val="27"/>
        </w:rPr>
        <w:t xml:space="preserve"> quarters of subsequent data through the first quarter of </w:t>
      </w:r>
      <w:r w:rsidR="00EF0248">
        <w:rPr>
          <w:rFonts w:ascii="Times New Roman" w:eastAsia="Times New Roman" w:hAnsi="Times New Roman" w:cs="Times New Roman"/>
          <w:sz w:val="27"/>
          <w:szCs w:val="27"/>
        </w:rPr>
        <w:t>2022</w:t>
      </w:r>
      <w:r w:rsidR="00A97C6E">
        <w:rPr>
          <w:rFonts w:ascii="Times New Roman" w:eastAsia="Times New Roman" w:hAnsi="Times New Roman" w:cs="Times New Roman"/>
          <w:sz w:val="27"/>
          <w:szCs w:val="27"/>
        </w:rPr>
        <w:t xml:space="preserve"> is 1</w:t>
      </w:r>
      <w:r w:rsidR="007573DC">
        <w:rPr>
          <w:rFonts w:ascii="Times New Roman" w:eastAsia="Times New Roman" w:hAnsi="Times New Roman" w:cs="Times New Roman"/>
          <w:sz w:val="27"/>
          <w:szCs w:val="27"/>
        </w:rPr>
        <w:t>66,862</w:t>
      </w:r>
      <w:r w:rsidR="00A97C6E">
        <w:rPr>
          <w:rFonts w:ascii="Times New Roman" w:eastAsia="Times New Roman" w:hAnsi="Times New Roman" w:cs="Times New Roman"/>
          <w:sz w:val="27"/>
          <w:szCs w:val="27"/>
        </w:rPr>
        <w:t xml:space="preserve"> jobs.</w:t>
      </w:r>
      <w:r w:rsidR="00A97C6E">
        <w:rPr>
          <w:rFonts w:ascii="Times New Roman" w:eastAsia="Times New Roman" w:hAnsi="Times New Roman" w:cs="Times New Roman"/>
          <w:sz w:val="27"/>
          <w:szCs w:val="27"/>
        </w:rPr>
        <w:br/>
      </w:r>
      <w:r w:rsidR="00A97C6E">
        <w:rPr>
          <w:rFonts w:ascii="Times New Roman" w:eastAsia="Times New Roman" w:hAnsi="Times New Roman" w:cs="Times New Roman"/>
          <w:sz w:val="27"/>
          <w:szCs w:val="27"/>
        </w:rPr>
        <w:br/>
      </w:r>
    </w:p>
    <w:p w14:paraId="4602FA50" w14:textId="206C3F54" w:rsidR="00403826" w:rsidRPr="006B7D0D" w:rsidRDefault="003217F1" w:rsidP="009C0C2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445A">
        <w:rPr>
          <w:noProof/>
        </w:rPr>
        <w:drawing>
          <wp:inline distT="0" distB="0" distL="0" distR="0" wp14:anchorId="156CD441" wp14:editId="6BC284C4">
            <wp:extent cx="4857750" cy="2676525"/>
            <wp:effectExtent l="0" t="0" r="0" b="9525"/>
            <wp:docPr id="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83E56">
        <w:rPr>
          <w:rFonts w:ascii="Times New Roman" w:eastAsia="Times New Roman" w:hAnsi="Times New Roman" w:cs="Times New Roman"/>
          <w:sz w:val="28"/>
          <w:szCs w:val="28"/>
        </w:rPr>
        <w:br/>
      </w:r>
    </w:p>
    <w:p w14:paraId="7B49AFB7" w14:textId="77777777" w:rsidR="00403826" w:rsidRPr="0040001C" w:rsidRDefault="00403826" w:rsidP="00403826">
      <w:pPr>
        <w:rPr>
          <w:rFonts w:ascii="Times New Roman" w:eastAsia="Times New Roman" w:hAnsi="Times New Roman" w:cs="Times New Roman"/>
          <w:sz w:val="30"/>
          <w:szCs w:val="30"/>
        </w:rPr>
      </w:pPr>
      <w:r w:rsidRPr="007A7078">
        <w:rPr>
          <w:rFonts w:ascii="Times New Roman" w:eastAsia="Times New Roman" w:hAnsi="Times New Roman" w:cs="Times New Roman"/>
          <w:sz w:val="28"/>
          <w:szCs w:val="28"/>
        </w:rPr>
        <w:lastRenderedPageBreak/>
        <w:t xml:space="preserve">The change in the number of jobs over time is the net result of increases and decreases in employment that occur at all businesses in the economy. Business Employment Dynamics (BED) statistics track these changes in employment at private business units from the third month of one quarter to the third month of the next. Gross job gains are the sum of increases in employment from expansions at existing units and the addition of new jobs at opening units. Gross job losses are the result of contractions in employment at existing units and the loss of jobs at closing units. The difference between the number of gross job gains and the number of gross job losses is the net change in employment. </w:t>
      </w:r>
    </w:p>
    <w:p w14:paraId="54E70BD2" w14:textId="77777777" w:rsidR="00403826" w:rsidRPr="007A7078" w:rsidRDefault="00403826" w:rsidP="00403826">
      <w:pPr>
        <w:spacing w:after="0" w:line="240" w:lineRule="auto"/>
        <w:rPr>
          <w:rFonts w:ascii="Times New Roman" w:eastAsia="Times New Roman" w:hAnsi="Times New Roman" w:cs="Times New Roman"/>
          <w:sz w:val="28"/>
          <w:szCs w:val="28"/>
        </w:rPr>
      </w:pPr>
      <w:r w:rsidRPr="007A7078">
        <w:rPr>
          <w:rFonts w:ascii="Times New Roman" w:eastAsia="Times New Roman" w:hAnsi="Times New Roman" w:cs="Times New Roman"/>
          <w:sz w:val="28"/>
          <w:szCs w:val="28"/>
        </w:rPr>
        <w:t xml:space="preserve">The BED data series includes gross job gains and gross job losses at the establishment level by industry subsector and for the 50 states, the District of Columbia, Puerto Rico, and the Virgin Islands, as well as </w:t>
      </w:r>
      <w:r w:rsidR="00785588">
        <w:rPr>
          <w:rFonts w:ascii="Times New Roman" w:eastAsia="Times New Roman" w:hAnsi="Times New Roman" w:cs="Times New Roman"/>
          <w:sz w:val="28"/>
          <w:szCs w:val="28"/>
        </w:rPr>
        <w:t xml:space="preserve">annual </w:t>
      </w:r>
      <w:r w:rsidRPr="007A7078">
        <w:rPr>
          <w:rFonts w:ascii="Times New Roman" w:eastAsia="Times New Roman" w:hAnsi="Times New Roman" w:cs="Times New Roman"/>
          <w:sz w:val="28"/>
          <w:szCs w:val="28"/>
        </w:rPr>
        <w:t xml:space="preserve">gross job gains and </w:t>
      </w:r>
      <w:r w:rsidR="00785588">
        <w:rPr>
          <w:rFonts w:ascii="Times New Roman" w:eastAsia="Times New Roman" w:hAnsi="Times New Roman" w:cs="Times New Roman"/>
          <w:sz w:val="28"/>
          <w:szCs w:val="28"/>
        </w:rPr>
        <w:t xml:space="preserve">annual </w:t>
      </w:r>
      <w:r w:rsidRPr="007A7078">
        <w:rPr>
          <w:rFonts w:ascii="Times New Roman" w:eastAsia="Times New Roman" w:hAnsi="Times New Roman" w:cs="Times New Roman"/>
          <w:sz w:val="28"/>
          <w:szCs w:val="28"/>
        </w:rPr>
        <w:t xml:space="preserve">gross job losses at the firm level by employer size class. </w:t>
      </w:r>
    </w:p>
    <w:p w14:paraId="3EBD595F" w14:textId="1A1A528B" w:rsidR="00403826" w:rsidRDefault="00403826" w:rsidP="0040382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30"/>
          <w:szCs w:val="30"/>
        </w:rPr>
        <w:br/>
      </w:r>
      <w:r w:rsidRPr="007A7078">
        <w:rPr>
          <w:rFonts w:ascii="Times New Roman" w:eastAsia="Times New Roman" w:hAnsi="Times New Roman" w:cs="Times New Roman"/>
          <w:sz w:val="28"/>
          <w:szCs w:val="28"/>
        </w:rPr>
        <w:t xml:space="preserve">Gross job gains at </w:t>
      </w:r>
      <w:r w:rsidRPr="007A7078">
        <w:rPr>
          <w:rFonts w:ascii="Times New Roman" w:eastAsia="Times New Roman" w:hAnsi="Times New Roman" w:cs="Times New Roman"/>
          <w:b/>
          <w:sz w:val="28"/>
          <w:szCs w:val="28"/>
        </w:rPr>
        <w:t>expanding</w:t>
      </w:r>
      <w:r w:rsidR="003B059E">
        <w:rPr>
          <w:rFonts w:ascii="Times New Roman" w:eastAsia="Times New Roman" w:hAnsi="Times New Roman" w:cs="Times New Roman"/>
          <w:sz w:val="28"/>
          <w:szCs w:val="28"/>
        </w:rPr>
        <w:t xml:space="preserve"> establishments totaled </w:t>
      </w:r>
      <w:r w:rsidR="007573DC">
        <w:rPr>
          <w:rFonts w:ascii="Times New Roman" w:eastAsia="Times New Roman" w:hAnsi="Times New Roman" w:cs="Times New Roman"/>
          <w:sz w:val="28"/>
          <w:szCs w:val="28"/>
        </w:rPr>
        <w:t>73,947</w:t>
      </w:r>
      <w:r w:rsidR="0027263E">
        <w:rPr>
          <w:rFonts w:ascii="Times New Roman" w:eastAsia="Times New Roman" w:hAnsi="Times New Roman" w:cs="Times New Roman"/>
          <w:sz w:val="28"/>
          <w:szCs w:val="28"/>
        </w:rPr>
        <w:t xml:space="preserve"> in the</w:t>
      </w:r>
      <w:r w:rsidR="00142F84">
        <w:rPr>
          <w:rFonts w:ascii="Times New Roman" w:eastAsia="Times New Roman" w:hAnsi="Times New Roman" w:cs="Times New Roman"/>
          <w:sz w:val="28"/>
          <w:szCs w:val="28"/>
        </w:rPr>
        <w:t xml:space="preserve"> </w:t>
      </w:r>
      <w:r w:rsidR="00724E27">
        <w:rPr>
          <w:rFonts w:ascii="Times New Roman" w:eastAsia="Times New Roman" w:hAnsi="Times New Roman" w:cs="Times New Roman"/>
          <w:sz w:val="28"/>
          <w:szCs w:val="28"/>
        </w:rPr>
        <w:t>f</w:t>
      </w:r>
      <w:r w:rsidR="00A97C6E">
        <w:rPr>
          <w:rFonts w:ascii="Times New Roman" w:eastAsia="Times New Roman" w:hAnsi="Times New Roman" w:cs="Times New Roman"/>
          <w:sz w:val="28"/>
          <w:szCs w:val="28"/>
        </w:rPr>
        <w:t>irst</w:t>
      </w:r>
      <w:r w:rsidR="00230875">
        <w:rPr>
          <w:rFonts w:ascii="Times New Roman" w:eastAsia="Times New Roman" w:hAnsi="Times New Roman" w:cs="Times New Roman"/>
          <w:sz w:val="28"/>
          <w:szCs w:val="28"/>
        </w:rPr>
        <w:t xml:space="preserve"> quarter</w:t>
      </w:r>
      <w:r w:rsidR="00D2556A">
        <w:rPr>
          <w:rFonts w:ascii="Times New Roman" w:eastAsia="Times New Roman" w:hAnsi="Times New Roman" w:cs="Times New Roman"/>
          <w:sz w:val="28"/>
          <w:szCs w:val="28"/>
        </w:rPr>
        <w:t xml:space="preserve"> of </w:t>
      </w:r>
      <w:r w:rsidR="00EF0248">
        <w:rPr>
          <w:rFonts w:ascii="Times New Roman" w:eastAsia="Times New Roman" w:hAnsi="Times New Roman" w:cs="Times New Roman"/>
          <w:sz w:val="28"/>
          <w:szCs w:val="28"/>
        </w:rPr>
        <w:t>2022</w:t>
      </w:r>
      <w:r w:rsidR="002C5777">
        <w:rPr>
          <w:rFonts w:ascii="Times New Roman" w:eastAsia="Times New Roman" w:hAnsi="Times New Roman" w:cs="Times New Roman"/>
          <w:sz w:val="28"/>
          <w:szCs w:val="28"/>
        </w:rPr>
        <w:t xml:space="preserve">, </w:t>
      </w:r>
      <w:r w:rsidR="00E23735">
        <w:rPr>
          <w:rFonts w:ascii="Times New Roman" w:eastAsia="Times New Roman" w:hAnsi="Times New Roman" w:cs="Times New Roman"/>
          <w:sz w:val="28"/>
          <w:szCs w:val="28"/>
        </w:rPr>
        <w:t>a</w:t>
      </w:r>
      <w:r w:rsidR="00724E27">
        <w:rPr>
          <w:rFonts w:ascii="Times New Roman" w:eastAsia="Times New Roman" w:hAnsi="Times New Roman" w:cs="Times New Roman"/>
          <w:sz w:val="28"/>
          <w:szCs w:val="28"/>
        </w:rPr>
        <w:t xml:space="preserve"> de</w:t>
      </w:r>
      <w:r>
        <w:rPr>
          <w:rFonts w:ascii="Times New Roman" w:eastAsia="Times New Roman" w:hAnsi="Times New Roman" w:cs="Times New Roman"/>
          <w:sz w:val="28"/>
          <w:szCs w:val="28"/>
        </w:rPr>
        <w:t>crease of</w:t>
      </w:r>
      <w:r w:rsidR="002C5777">
        <w:rPr>
          <w:rFonts w:ascii="Times New Roman" w:eastAsia="Times New Roman" w:hAnsi="Times New Roman" w:cs="Times New Roman"/>
          <w:sz w:val="28"/>
          <w:szCs w:val="28"/>
        </w:rPr>
        <w:t xml:space="preserve"> </w:t>
      </w:r>
      <w:r w:rsidR="007573DC">
        <w:rPr>
          <w:rFonts w:ascii="Times New Roman" w:eastAsia="Times New Roman" w:hAnsi="Times New Roman" w:cs="Times New Roman"/>
          <w:sz w:val="28"/>
          <w:szCs w:val="28"/>
        </w:rPr>
        <w:t>4,011</w:t>
      </w:r>
      <w:r w:rsidR="00714CDA">
        <w:rPr>
          <w:rFonts w:ascii="Times New Roman" w:eastAsia="Times New Roman" w:hAnsi="Times New Roman" w:cs="Times New Roman"/>
          <w:sz w:val="28"/>
          <w:szCs w:val="28"/>
        </w:rPr>
        <w:t xml:space="preserve"> </w:t>
      </w:r>
      <w:r w:rsidRPr="007A7078">
        <w:rPr>
          <w:rFonts w:ascii="Times New Roman" w:eastAsia="Times New Roman" w:hAnsi="Times New Roman" w:cs="Times New Roman"/>
          <w:sz w:val="28"/>
          <w:szCs w:val="28"/>
        </w:rPr>
        <w:t xml:space="preserve">from the previous quarter.  </w:t>
      </w:r>
    </w:p>
    <w:p w14:paraId="011A6270" w14:textId="77777777" w:rsidR="00403826" w:rsidRDefault="00403826" w:rsidP="00403826">
      <w:pPr>
        <w:spacing w:after="0" w:line="240" w:lineRule="auto"/>
        <w:rPr>
          <w:rFonts w:ascii="Times New Roman" w:eastAsia="Times New Roman" w:hAnsi="Times New Roman" w:cs="Times New Roman"/>
          <w:sz w:val="30"/>
          <w:szCs w:val="30"/>
        </w:rPr>
      </w:pPr>
    </w:p>
    <w:p w14:paraId="6C3F1CC1" w14:textId="3A5DAC90" w:rsidR="00403826" w:rsidRPr="007A7078" w:rsidRDefault="00403826" w:rsidP="00403826">
      <w:pPr>
        <w:spacing w:after="0" w:line="240" w:lineRule="auto"/>
        <w:rPr>
          <w:rFonts w:ascii="Times New Roman" w:eastAsia="Times New Roman" w:hAnsi="Times New Roman" w:cs="Times New Roman"/>
          <w:sz w:val="28"/>
          <w:szCs w:val="28"/>
        </w:rPr>
      </w:pPr>
      <w:r w:rsidRPr="007A7078">
        <w:rPr>
          <w:rFonts w:ascii="Times New Roman" w:eastAsia="Times New Roman" w:hAnsi="Times New Roman" w:cs="Times New Roman"/>
          <w:b/>
          <w:sz w:val="28"/>
          <w:szCs w:val="28"/>
        </w:rPr>
        <w:t xml:space="preserve">Opening </w:t>
      </w:r>
      <w:r w:rsidRPr="007A7078">
        <w:rPr>
          <w:rFonts w:ascii="Times New Roman" w:eastAsia="Times New Roman" w:hAnsi="Times New Roman" w:cs="Times New Roman"/>
          <w:sz w:val="28"/>
          <w:szCs w:val="28"/>
        </w:rPr>
        <w:t>establishments accounted for</w:t>
      </w:r>
      <w:r w:rsidR="00B6048B">
        <w:rPr>
          <w:rFonts w:ascii="Times New Roman" w:eastAsia="Times New Roman" w:hAnsi="Times New Roman" w:cs="Times New Roman"/>
          <w:sz w:val="28"/>
          <w:szCs w:val="28"/>
        </w:rPr>
        <w:t xml:space="preserve"> </w:t>
      </w:r>
      <w:r w:rsidR="00724E27">
        <w:rPr>
          <w:rFonts w:ascii="Times New Roman" w:eastAsia="Times New Roman" w:hAnsi="Times New Roman" w:cs="Times New Roman"/>
          <w:sz w:val="28"/>
          <w:szCs w:val="28"/>
        </w:rPr>
        <w:t>1</w:t>
      </w:r>
      <w:r w:rsidR="00A97C6E">
        <w:rPr>
          <w:rFonts w:ascii="Times New Roman" w:eastAsia="Times New Roman" w:hAnsi="Times New Roman" w:cs="Times New Roman"/>
          <w:sz w:val="28"/>
          <w:szCs w:val="28"/>
        </w:rPr>
        <w:t>6,</w:t>
      </w:r>
      <w:r w:rsidR="007573DC">
        <w:rPr>
          <w:rFonts w:ascii="Times New Roman" w:eastAsia="Times New Roman" w:hAnsi="Times New Roman" w:cs="Times New Roman"/>
          <w:sz w:val="28"/>
          <w:szCs w:val="28"/>
        </w:rPr>
        <w:t>210</w:t>
      </w:r>
      <w:r w:rsidR="00FC14A0">
        <w:rPr>
          <w:rFonts w:ascii="Times New Roman" w:eastAsia="Times New Roman" w:hAnsi="Times New Roman" w:cs="Times New Roman"/>
          <w:sz w:val="28"/>
          <w:szCs w:val="28"/>
        </w:rPr>
        <w:t xml:space="preserve"> </w:t>
      </w:r>
      <w:r w:rsidRPr="007A7078">
        <w:rPr>
          <w:rFonts w:ascii="Times New Roman" w:eastAsia="Times New Roman" w:hAnsi="Times New Roman" w:cs="Times New Roman"/>
          <w:sz w:val="28"/>
          <w:szCs w:val="28"/>
        </w:rPr>
        <w:t xml:space="preserve">jobs gained in the </w:t>
      </w:r>
      <w:r w:rsidR="00724E27">
        <w:rPr>
          <w:rFonts w:ascii="Times New Roman" w:eastAsia="Times New Roman" w:hAnsi="Times New Roman" w:cs="Times New Roman"/>
          <w:sz w:val="28"/>
          <w:szCs w:val="28"/>
        </w:rPr>
        <w:t>f</w:t>
      </w:r>
      <w:r w:rsidR="00A97C6E">
        <w:rPr>
          <w:rFonts w:ascii="Times New Roman" w:eastAsia="Times New Roman" w:hAnsi="Times New Roman" w:cs="Times New Roman"/>
          <w:sz w:val="28"/>
          <w:szCs w:val="28"/>
        </w:rPr>
        <w:t>irst</w:t>
      </w:r>
      <w:r w:rsidR="00230875">
        <w:rPr>
          <w:rFonts w:ascii="Times New Roman" w:eastAsia="Times New Roman" w:hAnsi="Times New Roman" w:cs="Times New Roman"/>
          <w:sz w:val="28"/>
          <w:szCs w:val="28"/>
        </w:rPr>
        <w:t xml:space="preserve"> quarter</w:t>
      </w:r>
      <w:r w:rsidR="00D2556A">
        <w:rPr>
          <w:rFonts w:ascii="Times New Roman" w:eastAsia="Times New Roman" w:hAnsi="Times New Roman" w:cs="Times New Roman"/>
          <w:sz w:val="28"/>
          <w:szCs w:val="28"/>
        </w:rPr>
        <w:t xml:space="preserve"> of </w:t>
      </w:r>
      <w:r w:rsidR="00EF0248">
        <w:rPr>
          <w:rFonts w:ascii="Times New Roman" w:eastAsia="Times New Roman" w:hAnsi="Times New Roman" w:cs="Times New Roman"/>
          <w:sz w:val="28"/>
          <w:szCs w:val="28"/>
        </w:rPr>
        <w:t>2022</w:t>
      </w:r>
      <w:r w:rsidRPr="007A7078">
        <w:rPr>
          <w:rFonts w:ascii="Times New Roman" w:eastAsia="Times New Roman" w:hAnsi="Times New Roman" w:cs="Times New Roman"/>
          <w:sz w:val="28"/>
          <w:szCs w:val="28"/>
        </w:rPr>
        <w:t>, a</w:t>
      </w:r>
      <w:r w:rsidR="00724E27">
        <w:rPr>
          <w:rFonts w:ascii="Times New Roman" w:eastAsia="Times New Roman" w:hAnsi="Times New Roman" w:cs="Times New Roman"/>
          <w:sz w:val="28"/>
          <w:szCs w:val="28"/>
        </w:rPr>
        <w:t xml:space="preserve"> de</w:t>
      </w:r>
      <w:r w:rsidR="00CC47A4">
        <w:rPr>
          <w:rFonts w:ascii="Times New Roman" w:eastAsia="Times New Roman" w:hAnsi="Times New Roman" w:cs="Times New Roman"/>
          <w:sz w:val="28"/>
          <w:szCs w:val="28"/>
        </w:rPr>
        <w:t>crease</w:t>
      </w:r>
      <w:r w:rsidRPr="007A7078">
        <w:rPr>
          <w:rFonts w:ascii="Times New Roman" w:eastAsia="Times New Roman" w:hAnsi="Times New Roman" w:cs="Times New Roman"/>
          <w:sz w:val="28"/>
          <w:szCs w:val="28"/>
        </w:rPr>
        <w:t xml:space="preserve"> </w:t>
      </w:r>
      <w:r w:rsidR="003B059E">
        <w:rPr>
          <w:rFonts w:ascii="Times New Roman" w:eastAsia="Times New Roman" w:hAnsi="Times New Roman" w:cs="Times New Roman"/>
          <w:sz w:val="28"/>
          <w:szCs w:val="28"/>
        </w:rPr>
        <w:t xml:space="preserve">of </w:t>
      </w:r>
      <w:r w:rsidR="007573DC">
        <w:rPr>
          <w:rFonts w:ascii="Times New Roman" w:eastAsia="Times New Roman" w:hAnsi="Times New Roman" w:cs="Times New Roman"/>
          <w:sz w:val="28"/>
          <w:szCs w:val="28"/>
        </w:rPr>
        <w:t>1,843</w:t>
      </w:r>
      <w:r w:rsidR="00CC47A4">
        <w:rPr>
          <w:rFonts w:ascii="Times New Roman" w:eastAsia="Times New Roman" w:hAnsi="Times New Roman" w:cs="Times New Roman"/>
          <w:sz w:val="28"/>
          <w:szCs w:val="28"/>
        </w:rPr>
        <w:t xml:space="preserve"> </w:t>
      </w:r>
      <w:r w:rsidRPr="007A7078">
        <w:rPr>
          <w:rFonts w:ascii="Times New Roman" w:eastAsia="Times New Roman" w:hAnsi="Times New Roman" w:cs="Times New Roman"/>
          <w:sz w:val="28"/>
          <w:szCs w:val="28"/>
        </w:rPr>
        <w:t xml:space="preserve">jobs from the previous quarter. </w:t>
      </w:r>
    </w:p>
    <w:p w14:paraId="2A4467C5" w14:textId="77777777" w:rsidR="00403826" w:rsidRDefault="00403826" w:rsidP="00F92959">
      <w:pPr>
        <w:spacing w:after="0" w:line="240" w:lineRule="auto"/>
        <w:jc w:val="center"/>
        <w:rPr>
          <w:rFonts w:ascii="Times New Roman" w:eastAsia="Times New Roman" w:hAnsi="Times New Roman" w:cs="Times New Roman"/>
          <w:sz w:val="30"/>
          <w:szCs w:val="30"/>
        </w:rPr>
      </w:pPr>
    </w:p>
    <w:p w14:paraId="1D4DB85A" w14:textId="3169CEA2" w:rsidR="00434063" w:rsidRDefault="00B2445A" w:rsidP="00F92959">
      <w:pPr>
        <w:spacing w:after="0" w:line="240" w:lineRule="auto"/>
        <w:jc w:val="center"/>
        <w:rPr>
          <w:rFonts w:ascii="Times New Roman" w:eastAsia="Times New Roman" w:hAnsi="Times New Roman" w:cs="Times New Roman"/>
          <w:sz w:val="30"/>
          <w:szCs w:val="30"/>
        </w:rPr>
      </w:pPr>
      <w:r>
        <w:rPr>
          <w:noProof/>
        </w:rPr>
        <w:drawing>
          <wp:inline distT="0" distB="0" distL="0" distR="0" wp14:anchorId="18F55C56" wp14:editId="24EE6E4C">
            <wp:extent cx="5038725" cy="2724150"/>
            <wp:effectExtent l="0" t="0" r="9525" b="0"/>
            <wp:docPr id="15" name="Chart 1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br/>
      </w:r>
    </w:p>
    <w:p w14:paraId="49A6089F" w14:textId="77777777" w:rsidR="009B5C2E" w:rsidRPr="007A7078" w:rsidRDefault="009B5C2E" w:rsidP="002D73F8">
      <w:pPr>
        <w:spacing w:after="0" w:line="240" w:lineRule="auto"/>
        <w:rPr>
          <w:rFonts w:ascii="Times New Roman" w:eastAsia="Times New Roman" w:hAnsi="Times New Roman" w:cs="Times New Roman"/>
          <w:sz w:val="28"/>
          <w:szCs w:val="28"/>
        </w:rPr>
      </w:pPr>
    </w:p>
    <w:p w14:paraId="01A590E2" w14:textId="2D926263" w:rsidR="002D73F8" w:rsidRPr="007A7078" w:rsidRDefault="007A7078" w:rsidP="002D73F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Contracting</w:t>
      </w:r>
      <w:r w:rsidR="002D73F8" w:rsidRPr="007A7078">
        <w:rPr>
          <w:rFonts w:ascii="Times New Roman" w:eastAsia="Times New Roman" w:hAnsi="Times New Roman" w:cs="Times New Roman"/>
          <w:sz w:val="28"/>
          <w:szCs w:val="28"/>
        </w:rPr>
        <w:t xml:space="preserve"> </w:t>
      </w:r>
      <w:r w:rsidR="003B059E">
        <w:rPr>
          <w:rFonts w:ascii="Times New Roman" w:eastAsia="Times New Roman" w:hAnsi="Times New Roman" w:cs="Times New Roman"/>
          <w:sz w:val="28"/>
          <w:szCs w:val="28"/>
        </w:rPr>
        <w:t>establishments lost</w:t>
      </w:r>
      <w:r w:rsidR="00B6048B">
        <w:rPr>
          <w:rFonts w:ascii="Times New Roman" w:eastAsia="Times New Roman" w:hAnsi="Times New Roman" w:cs="Times New Roman"/>
          <w:sz w:val="28"/>
          <w:szCs w:val="28"/>
        </w:rPr>
        <w:t xml:space="preserve"> </w:t>
      </w:r>
      <w:r w:rsidR="007573DC">
        <w:rPr>
          <w:rFonts w:ascii="Times New Roman" w:eastAsia="Times New Roman" w:hAnsi="Times New Roman" w:cs="Times New Roman"/>
          <w:sz w:val="28"/>
          <w:szCs w:val="28"/>
        </w:rPr>
        <w:t>62,398</w:t>
      </w:r>
      <w:r w:rsidR="0021153A" w:rsidRPr="007A7078">
        <w:rPr>
          <w:rFonts w:ascii="Times New Roman" w:eastAsia="Times New Roman" w:hAnsi="Times New Roman" w:cs="Times New Roman"/>
          <w:sz w:val="28"/>
          <w:szCs w:val="28"/>
        </w:rPr>
        <w:t xml:space="preserve"> </w:t>
      </w:r>
      <w:r w:rsidR="002D73F8" w:rsidRPr="007A7078">
        <w:rPr>
          <w:rFonts w:ascii="Times New Roman" w:eastAsia="Times New Roman" w:hAnsi="Times New Roman" w:cs="Times New Roman"/>
          <w:sz w:val="28"/>
          <w:szCs w:val="28"/>
        </w:rPr>
        <w:t>jobs in the</w:t>
      </w:r>
      <w:r w:rsidR="00724E27">
        <w:rPr>
          <w:rFonts w:ascii="Times New Roman" w:eastAsia="Times New Roman" w:hAnsi="Times New Roman" w:cs="Times New Roman"/>
          <w:sz w:val="28"/>
          <w:szCs w:val="28"/>
        </w:rPr>
        <w:t xml:space="preserve"> f</w:t>
      </w:r>
      <w:r w:rsidR="00A97C6E">
        <w:rPr>
          <w:rFonts w:ascii="Times New Roman" w:eastAsia="Times New Roman" w:hAnsi="Times New Roman" w:cs="Times New Roman"/>
          <w:sz w:val="28"/>
          <w:szCs w:val="28"/>
        </w:rPr>
        <w:t xml:space="preserve">irst </w:t>
      </w:r>
      <w:r w:rsidR="00230875">
        <w:rPr>
          <w:rFonts w:ascii="Times New Roman" w:eastAsia="Times New Roman" w:hAnsi="Times New Roman" w:cs="Times New Roman"/>
          <w:sz w:val="28"/>
          <w:szCs w:val="28"/>
        </w:rPr>
        <w:t>quarter</w:t>
      </w:r>
      <w:r w:rsidR="00D2556A">
        <w:rPr>
          <w:rFonts w:ascii="Times New Roman" w:eastAsia="Times New Roman" w:hAnsi="Times New Roman" w:cs="Times New Roman"/>
          <w:sz w:val="28"/>
          <w:szCs w:val="28"/>
        </w:rPr>
        <w:t xml:space="preserve"> of </w:t>
      </w:r>
      <w:r w:rsidR="00EF0248">
        <w:rPr>
          <w:rFonts w:ascii="Times New Roman" w:eastAsia="Times New Roman" w:hAnsi="Times New Roman" w:cs="Times New Roman"/>
          <w:sz w:val="28"/>
          <w:szCs w:val="28"/>
        </w:rPr>
        <w:t>2022</w:t>
      </w:r>
      <w:r w:rsidR="00B6048B">
        <w:rPr>
          <w:rFonts w:ascii="Times New Roman" w:eastAsia="Times New Roman" w:hAnsi="Times New Roman" w:cs="Times New Roman"/>
          <w:sz w:val="28"/>
          <w:szCs w:val="28"/>
        </w:rPr>
        <w:t>,</w:t>
      </w:r>
      <w:r w:rsidR="007573DC">
        <w:rPr>
          <w:rFonts w:ascii="Times New Roman" w:eastAsia="Times New Roman" w:hAnsi="Times New Roman" w:cs="Times New Roman"/>
          <w:sz w:val="28"/>
          <w:szCs w:val="28"/>
        </w:rPr>
        <w:t xml:space="preserve"> up</w:t>
      </w:r>
      <w:r w:rsidR="00A97C6E">
        <w:rPr>
          <w:rFonts w:ascii="Times New Roman" w:eastAsia="Times New Roman" w:hAnsi="Times New Roman" w:cs="Times New Roman"/>
          <w:sz w:val="28"/>
          <w:szCs w:val="28"/>
        </w:rPr>
        <w:t xml:space="preserve"> 3,</w:t>
      </w:r>
      <w:r w:rsidR="007573DC">
        <w:rPr>
          <w:rFonts w:ascii="Times New Roman" w:eastAsia="Times New Roman" w:hAnsi="Times New Roman" w:cs="Times New Roman"/>
          <w:sz w:val="28"/>
          <w:szCs w:val="28"/>
        </w:rPr>
        <w:t>256</w:t>
      </w:r>
      <w:r w:rsidR="00B6048B">
        <w:rPr>
          <w:rFonts w:ascii="Times New Roman" w:eastAsia="Times New Roman" w:hAnsi="Times New Roman" w:cs="Times New Roman"/>
          <w:sz w:val="28"/>
          <w:szCs w:val="28"/>
        </w:rPr>
        <w:t xml:space="preserve"> from the prior quarte</w:t>
      </w:r>
      <w:r w:rsidR="00C42F53">
        <w:rPr>
          <w:rFonts w:ascii="Times New Roman" w:eastAsia="Times New Roman" w:hAnsi="Times New Roman" w:cs="Times New Roman"/>
          <w:sz w:val="28"/>
          <w:szCs w:val="28"/>
        </w:rPr>
        <w:t>r</w:t>
      </w:r>
      <w:r w:rsidR="00724E27">
        <w:rPr>
          <w:rFonts w:ascii="Times New Roman" w:eastAsia="Times New Roman" w:hAnsi="Times New Roman" w:cs="Times New Roman"/>
          <w:sz w:val="28"/>
          <w:szCs w:val="28"/>
        </w:rPr>
        <w:t>.</w:t>
      </w:r>
    </w:p>
    <w:p w14:paraId="47B3EEC4" w14:textId="349B1132" w:rsidR="002D73F8" w:rsidRDefault="002D73F8" w:rsidP="002D73F8">
      <w:pPr>
        <w:spacing w:after="0" w:line="240" w:lineRule="auto"/>
        <w:rPr>
          <w:rFonts w:ascii="Times New Roman" w:eastAsia="Times New Roman" w:hAnsi="Times New Roman" w:cs="Times New Roman"/>
          <w:sz w:val="30"/>
          <w:szCs w:val="30"/>
        </w:rPr>
      </w:pPr>
    </w:p>
    <w:p w14:paraId="3BEF7665" w14:textId="77777777" w:rsidR="009512C8" w:rsidRPr="002D73F8" w:rsidRDefault="009512C8" w:rsidP="002D73F8">
      <w:pPr>
        <w:spacing w:after="0" w:line="240" w:lineRule="auto"/>
        <w:rPr>
          <w:rFonts w:ascii="Times New Roman" w:eastAsia="Times New Roman" w:hAnsi="Times New Roman" w:cs="Times New Roman"/>
          <w:sz w:val="30"/>
          <w:szCs w:val="30"/>
        </w:rPr>
      </w:pPr>
    </w:p>
    <w:p w14:paraId="7E114972" w14:textId="7ADC73DE" w:rsidR="0015361E" w:rsidRDefault="004B2C9F" w:rsidP="009A0DC4">
      <w:pPr>
        <w:spacing w:after="0" w:line="240" w:lineRule="auto"/>
        <w:rPr>
          <w:rFonts w:ascii="Times New Roman" w:eastAsia="Times New Roman" w:hAnsi="Times New Roman" w:cs="Times New Roman"/>
          <w:sz w:val="30"/>
          <w:szCs w:val="30"/>
        </w:rPr>
      </w:pPr>
      <w:r>
        <w:rPr>
          <w:rFonts w:ascii="Times New Roman" w:eastAsia="Times New Roman" w:hAnsi="Times New Roman" w:cs="Times New Roman"/>
          <w:sz w:val="28"/>
          <w:szCs w:val="28"/>
        </w:rPr>
        <w:t xml:space="preserve">In the </w:t>
      </w:r>
      <w:r w:rsidR="00724E27">
        <w:rPr>
          <w:rFonts w:ascii="Times New Roman" w:eastAsia="Times New Roman" w:hAnsi="Times New Roman" w:cs="Times New Roman"/>
          <w:sz w:val="28"/>
          <w:szCs w:val="28"/>
        </w:rPr>
        <w:t>f</w:t>
      </w:r>
      <w:r w:rsidR="00C42F53">
        <w:rPr>
          <w:rFonts w:ascii="Times New Roman" w:eastAsia="Times New Roman" w:hAnsi="Times New Roman" w:cs="Times New Roman"/>
          <w:sz w:val="28"/>
          <w:szCs w:val="28"/>
        </w:rPr>
        <w:t>irst</w:t>
      </w:r>
      <w:r w:rsidR="00230875">
        <w:rPr>
          <w:rFonts w:ascii="Times New Roman" w:eastAsia="Times New Roman" w:hAnsi="Times New Roman" w:cs="Times New Roman"/>
          <w:sz w:val="28"/>
          <w:szCs w:val="28"/>
        </w:rPr>
        <w:t xml:space="preserve"> quarter</w:t>
      </w:r>
      <w:r w:rsidR="00D2556A">
        <w:rPr>
          <w:rFonts w:ascii="Times New Roman" w:eastAsia="Times New Roman" w:hAnsi="Times New Roman" w:cs="Times New Roman"/>
          <w:sz w:val="28"/>
          <w:szCs w:val="28"/>
        </w:rPr>
        <w:t xml:space="preserve"> of </w:t>
      </w:r>
      <w:r w:rsidR="00EF0248">
        <w:rPr>
          <w:rFonts w:ascii="Times New Roman" w:eastAsia="Times New Roman" w:hAnsi="Times New Roman" w:cs="Times New Roman"/>
          <w:sz w:val="28"/>
          <w:szCs w:val="28"/>
        </w:rPr>
        <w:t>2022</w:t>
      </w:r>
      <w:r w:rsidR="009A0DC4" w:rsidRPr="007A7078">
        <w:rPr>
          <w:rFonts w:ascii="Times New Roman" w:eastAsia="Times New Roman" w:hAnsi="Times New Roman" w:cs="Times New Roman"/>
          <w:sz w:val="28"/>
          <w:szCs w:val="28"/>
        </w:rPr>
        <w:t xml:space="preserve">, </w:t>
      </w:r>
      <w:r w:rsidR="009A0DC4" w:rsidRPr="007A7078">
        <w:rPr>
          <w:rFonts w:ascii="Times New Roman" w:eastAsia="Times New Roman" w:hAnsi="Times New Roman" w:cs="Times New Roman"/>
          <w:b/>
          <w:sz w:val="28"/>
          <w:szCs w:val="28"/>
        </w:rPr>
        <w:t>closing</w:t>
      </w:r>
      <w:r w:rsidR="009A0DC4" w:rsidRPr="007A7078">
        <w:rPr>
          <w:rFonts w:ascii="Times New Roman" w:eastAsia="Times New Roman" w:hAnsi="Times New Roman" w:cs="Times New Roman"/>
          <w:sz w:val="28"/>
          <w:szCs w:val="28"/>
        </w:rPr>
        <w:t xml:space="preserve"> establishments </w:t>
      </w:r>
      <w:r w:rsidR="00A82C62" w:rsidRPr="007A7078">
        <w:rPr>
          <w:rFonts w:ascii="Times New Roman" w:eastAsia="Times New Roman" w:hAnsi="Times New Roman" w:cs="Times New Roman"/>
          <w:sz w:val="28"/>
          <w:szCs w:val="28"/>
        </w:rPr>
        <w:t>lost</w:t>
      </w:r>
      <w:r w:rsidR="0040001C">
        <w:rPr>
          <w:rFonts w:ascii="Times New Roman" w:eastAsia="Times New Roman" w:hAnsi="Times New Roman" w:cs="Times New Roman"/>
          <w:sz w:val="28"/>
          <w:szCs w:val="28"/>
        </w:rPr>
        <w:t xml:space="preserve"> </w:t>
      </w:r>
      <w:r w:rsidR="00C42F53">
        <w:rPr>
          <w:rFonts w:ascii="Times New Roman" w:eastAsia="Times New Roman" w:hAnsi="Times New Roman" w:cs="Times New Roman"/>
          <w:sz w:val="28"/>
          <w:szCs w:val="28"/>
        </w:rPr>
        <w:t>1</w:t>
      </w:r>
      <w:r w:rsidR="007573DC">
        <w:rPr>
          <w:rFonts w:ascii="Times New Roman" w:eastAsia="Times New Roman" w:hAnsi="Times New Roman" w:cs="Times New Roman"/>
          <w:sz w:val="28"/>
          <w:szCs w:val="28"/>
        </w:rPr>
        <w:t>2,556</w:t>
      </w:r>
      <w:r w:rsidR="00C42F53">
        <w:rPr>
          <w:rFonts w:ascii="Times New Roman" w:eastAsia="Times New Roman" w:hAnsi="Times New Roman" w:cs="Times New Roman"/>
          <w:sz w:val="28"/>
          <w:szCs w:val="28"/>
        </w:rPr>
        <w:t>1</w:t>
      </w:r>
      <w:r w:rsidR="00B6048B">
        <w:rPr>
          <w:rFonts w:ascii="Times New Roman" w:eastAsia="Times New Roman" w:hAnsi="Times New Roman" w:cs="Times New Roman"/>
          <w:sz w:val="28"/>
          <w:szCs w:val="28"/>
        </w:rPr>
        <w:t xml:space="preserve"> </w:t>
      </w:r>
      <w:r w:rsidR="009A0DC4" w:rsidRPr="007A7078">
        <w:rPr>
          <w:rFonts w:ascii="Times New Roman" w:eastAsia="Times New Roman" w:hAnsi="Times New Roman" w:cs="Times New Roman"/>
          <w:sz w:val="28"/>
          <w:szCs w:val="28"/>
        </w:rPr>
        <w:t>jobs</w:t>
      </w:r>
      <w:r w:rsidR="00B6048B">
        <w:rPr>
          <w:rFonts w:ascii="Times New Roman" w:eastAsia="Times New Roman" w:hAnsi="Times New Roman" w:cs="Times New Roman"/>
          <w:sz w:val="28"/>
          <w:szCs w:val="28"/>
        </w:rPr>
        <w:t xml:space="preserve">, </w:t>
      </w:r>
      <w:r w:rsidR="00724E27">
        <w:rPr>
          <w:rFonts w:ascii="Times New Roman" w:eastAsia="Times New Roman" w:hAnsi="Times New Roman" w:cs="Times New Roman"/>
          <w:sz w:val="28"/>
          <w:szCs w:val="28"/>
        </w:rPr>
        <w:t>a</w:t>
      </w:r>
      <w:r w:rsidR="00C42F53">
        <w:rPr>
          <w:rFonts w:ascii="Times New Roman" w:eastAsia="Times New Roman" w:hAnsi="Times New Roman" w:cs="Times New Roman"/>
          <w:sz w:val="28"/>
          <w:szCs w:val="28"/>
        </w:rPr>
        <w:t xml:space="preserve"> de</w:t>
      </w:r>
      <w:r w:rsidR="00B6048B">
        <w:rPr>
          <w:rFonts w:ascii="Times New Roman" w:eastAsia="Times New Roman" w:hAnsi="Times New Roman" w:cs="Times New Roman"/>
          <w:sz w:val="28"/>
          <w:szCs w:val="28"/>
        </w:rPr>
        <w:t xml:space="preserve">crease of </w:t>
      </w:r>
      <w:r w:rsidR="007573DC">
        <w:rPr>
          <w:rFonts w:ascii="Times New Roman" w:eastAsia="Times New Roman" w:hAnsi="Times New Roman" w:cs="Times New Roman"/>
          <w:sz w:val="28"/>
          <w:szCs w:val="28"/>
        </w:rPr>
        <w:t>2,734</w:t>
      </w:r>
      <w:r w:rsidR="009A0DC4" w:rsidRPr="007A7078">
        <w:rPr>
          <w:rFonts w:ascii="Times New Roman" w:eastAsia="Times New Roman" w:hAnsi="Times New Roman" w:cs="Times New Roman"/>
          <w:sz w:val="28"/>
          <w:szCs w:val="28"/>
        </w:rPr>
        <w:t xml:space="preserve"> from the previous quarter.</w:t>
      </w:r>
      <w:r w:rsidR="00B2199E">
        <w:rPr>
          <w:rFonts w:ascii="Times New Roman" w:eastAsia="Times New Roman" w:hAnsi="Times New Roman" w:cs="Times New Roman"/>
          <w:sz w:val="28"/>
          <w:szCs w:val="28"/>
        </w:rPr>
        <w:t xml:space="preserve">  Chart 3 shows the relationship between opening and closing-derived job </w:t>
      </w:r>
      <w:r w:rsidR="00B2199E">
        <w:rPr>
          <w:rFonts w:ascii="Times New Roman" w:eastAsia="Times New Roman" w:hAnsi="Times New Roman" w:cs="Times New Roman"/>
          <w:sz w:val="28"/>
          <w:szCs w:val="28"/>
        </w:rPr>
        <w:lastRenderedPageBreak/>
        <w:t>change.</w:t>
      </w:r>
      <w:r w:rsidR="005F5F10">
        <w:rPr>
          <w:rFonts w:ascii="Times New Roman" w:eastAsia="Times New Roman" w:hAnsi="Times New Roman" w:cs="Times New Roman"/>
          <w:sz w:val="28"/>
          <w:szCs w:val="28"/>
        </w:rPr>
        <w:t xml:space="preserve">  </w:t>
      </w:r>
      <w:r w:rsidR="00360AA3">
        <w:rPr>
          <w:rFonts w:ascii="Times New Roman" w:eastAsia="Times New Roman" w:hAnsi="Times New Roman" w:cs="Times New Roman"/>
          <w:sz w:val="28"/>
          <w:szCs w:val="28"/>
        </w:rPr>
        <w:t>Beginning in 2019, opening and closing</w:t>
      </w:r>
      <w:r w:rsidR="003E0438">
        <w:rPr>
          <w:rFonts w:ascii="Times New Roman" w:eastAsia="Times New Roman" w:hAnsi="Times New Roman" w:cs="Times New Roman"/>
          <w:sz w:val="28"/>
          <w:szCs w:val="28"/>
        </w:rPr>
        <w:t>-derived job change was</w:t>
      </w:r>
      <w:r w:rsidR="00360AA3">
        <w:rPr>
          <w:rFonts w:ascii="Times New Roman" w:eastAsia="Times New Roman" w:hAnsi="Times New Roman" w:cs="Times New Roman"/>
          <w:sz w:val="28"/>
          <w:szCs w:val="28"/>
        </w:rPr>
        <w:t xml:space="preserve"> above</w:t>
      </w:r>
      <w:r w:rsidR="003E0438">
        <w:rPr>
          <w:rFonts w:ascii="Times New Roman" w:eastAsia="Times New Roman" w:hAnsi="Times New Roman" w:cs="Times New Roman"/>
          <w:sz w:val="28"/>
          <w:szCs w:val="28"/>
        </w:rPr>
        <w:t xml:space="preserve"> </w:t>
      </w:r>
      <w:r w:rsidR="00360AA3">
        <w:rPr>
          <w:rFonts w:ascii="Times New Roman" w:eastAsia="Times New Roman" w:hAnsi="Times New Roman" w:cs="Times New Roman"/>
          <w:sz w:val="28"/>
          <w:szCs w:val="28"/>
        </w:rPr>
        <w:t>2011-18 levels, by 2020Q2 the impact of the recession is illustrated by the</w:t>
      </w:r>
      <w:r w:rsidR="003E0438">
        <w:rPr>
          <w:rFonts w:ascii="Times New Roman" w:eastAsia="Times New Roman" w:hAnsi="Times New Roman" w:cs="Times New Roman"/>
          <w:sz w:val="28"/>
          <w:szCs w:val="28"/>
        </w:rPr>
        <w:t xml:space="preserve"> large uptick in closing job losses</w:t>
      </w:r>
      <w:r w:rsidR="007D7788">
        <w:rPr>
          <w:rFonts w:ascii="Times New Roman" w:eastAsia="Times New Roman" w:hAnsi="Times New Roman" w:cs="Times New Roman"/>
          <w:sz w:val="28"/>
          <w:szCs w:val="28"/>
        </w:rPr>
        <w:t xml:space="preserve"> and the large uptick in openings the following quarter</w:t>
      </w:r>
      <w:r w:rsidR="003E0438">
        <w:rPr>
          <w:rFonts w:ascii="Times New Roman" w:eastAsia="Times New Roman" w:hAnsi="Times New Roman" w:cs="Times New Roman"/>
          <w:sz w:val="28"/>
          <w:szCs w:val="28"/>
        </w:rPr>
        <w:t>.</w:t>
      </w:r>
      <w:r w:rsidR="00724E27">
        <w:rPr>
          <w:rFonts w:ascii="Times New Roman" w:eastAsia="Times New Roman" w:hAnsi="Times New Roman" w:cs="Times New Roman"/>
          <w:sz w:val="28"/>
          <w:szCs w:val="28"/>
        </w:rPr>
        <w:t xml:space="preserve">  In the </w:t>
      </w:r>
      <w:r w:rsidR="00C42F53">
        <w:rPr>
          <w:rFonts w:ascii="Times New Roman" w:eastAsia="Times New Roman" w:hAnsi="Times New Roman" w:cs="Times New Roman"/>
          <w:sz w:val="28"/>
          <w:szCs w:val="28"/>
        </w:rPr>
        <w:t>first</w:t>
      </w:r>
      <w:r w:rsidR="00724E27">
        <w:rPr>
          <w:rFonts w:ascii="Times New Roman" w:eastAsia="Times New Roman" w:hAnsi="Times New Roman" w:cs="Times New Roman"/>
          <w:sz w:val="28"/>
          <w:szCs w:val="28"/>
        </w:rPr>
        <w:t xml:space="preserve"> quarter of </w:t>
      </w:r>
      <w:r w:rsidR="00EF0248">
        <w:rPr>
          <w:rFonts w:ascii="Times New Roman" w:eastAsia="Times New Roman" w:hAnsi="Times New Roman" w:cs="Times New Roman"/>
          <w:sz w:val="28"/>
          <w:szCs w:val="28"/>
        </w:rPr>
        <w:t>2022</w:t>
      </w:r>
      <w:r w:rsidR="00724E27">
        <w:rPr>
          <w:rFonts w:ascii="Times New Roman" w:eastAsia="Times New Roman" w:hAnsi="Times New Roman" w:cs="Times New Roman"/>
          <w:sz w:val="28"/>
          <w:szCs w:val="28"/>
        </w:rPr>
        <w:t xml:space="preserve">, openings and closings have </w:t>
      </w:r>
      <w:r w:rsidR="001E7CB2">
        <w:rPr>
          <w:rFonts w:ascii="Times New Roman" w:eastAsia="Times New Roman" w:hAnsi="Times New Roman" w:cs="Times New Roman"/>
          <w:sz w:val="28"/>
          <w:szCs w:val="28"/>
        </w:rPr>
        <w:t>shifted back to pre-recession levels.</w:t>
      </w:r>
    </w:p>
    <w:p w14:paraId="783B8C3A" w14:textId="6AA5F510" w:rsidR="00983FDC" w:rsidRDefault="00983FDC" w:rsidP="007F462B">
      <w:pPr>
        <w:spacing w:after="0" w:line="240" w:lineRule="auto"/>
        <w:jc w:val="center"/>
        <w:rPr>
          <w:rFonts w:ascii="Times New Roman" w:eastAsia="Times New Roman" w:hAnsi="Times New Roman" w:cs="Times New Roman"/>
          <w:sz w:val="30"/>
          <w:szCs w:val="30"/>
        </w:rPr>
      </w:pPr>
    </w:p>
    <w:p w14:paraId="1F7F89FA" w14:textId="3A8BAE6D" w:rsidR="00ED2350" w:rsidRDefault="00B2445A" w:rsidP="007F462B">
      <w:pPr>
        <w:spacing w:after="0" w:line="240" w:lineRule="auto"/>
        <w:jc w:val="center"/>
        <w:rPr>
          <w:rFonts w:ascii="Times New Roman" w:eastAsia="Times New Roman" w:hAnsi="Times New Roman" w:cs="Times New Roman"/>
          <w:sz w:val="30"/>
          <w:szCs w:val="30"/>
        </w:rPr>
      </w:pPr>
      <w:r>
        <w:rPr>
          <w:noProof/>
        </w:rPr>
        <w:drawing>
          <wp:inline distT="0" distB="0" distL="0" distR="0" wp14:anchorId="43A8B67B" wp14:editId="3B7C11E4">
            <wp:extent cx="4905375" cy="2657475"/>
            <wp:effectExtent l="0" t="0" r="9525" b="9525"/>
            <wp:docPr id="13" name="Chart 13">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br/>
      </w:r>
    </w:p>
    <w:p w14:paraId="0D69D385" w14:textId="3ACEA776" w:rsidR="009A0DC4" w:rsidRPr="007A7078" w:rsidRDefault="004B2C9F" w:rsidP="009A0DC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w:t>
      </w:r>
      <w:r w:rsidR="00E37A50">
        <w:rPr>
          <w:rFonts w:ascii="Times New Roman" w:eastAsia="Times New Roman" w:hAnsi="Times New Roman" w:cs="Times New Roman"/>
          <w:sz w:val="28"/>
          <w:szCs w:val="28"/>
        </w:rPr>
        <w:t xml:space="preserve">the </w:t>
      </w:r>
      <w:r w:rsidR="001E7CB2">
        <w:rPr>
          <w:rFonts w:ascii="Times New Roman" w:eastAsia="Times New Roman" w:hAnsi="Times New Roman" w:cs="Times New Roman"/>
          <w:sz w:val="28"/>
          <w:szCs w:val="28"/>
        </w:rPr>
        <w:t>f</w:t>
      </w:r>
      <w:r w:rsidR="00C42F53">
        <w:rPr>
          <w:rFonts w:ascii="Times New Roman" w:eastAsia="Times New Roman" w:hAnsi="Times New Roman" w:cs="Times New Roman"/>
          <w:sz w:val="28"/>
          <w:szCs w:val="28"/>
        </w:rPr>
        <w:t>irst</w:t>
      </w:r>
      <w:r w:rsidR="001E7CB2">
        <w:rPr>
          <w:rFonts w:ascii="Times New Roman" w:eastAsia="Times New Roman" w:hAnsi="Times New Roman" w:cs="Times New Roman"/>
          <w:sz w:val="28"/>
          <w:szCs w:val="28"/>
        </w:rPr>
        <w:t xml:space="preserve"> quarter</w:t>
      </w:r>
      <w:r w:rsidR="00D2556A">
        <w:rPr>
          <w:rFonts w:ascii="Times New Roman" w:eastAsia="Times New Roman" w:hAnsi="Times New Roman" w:cs="Times New Roman"/>
          <w:sz w:val="28"/>
          <w:szCs w:val="28"/>
        </w:rPr>
        <w:t xml:space="preserve"> of </w:t>
      </w:r>
      <w:r w:rsidR="00EF0248">
        <w:rPr>
          <w:rFonts w:ascii="Times New Roman" w:eastAsia="Times New Roman" w:hAnsi="Times New Roman" w:cs="Times New Roman"/>
          <w:sz w:val="28"/>
          <w:szCs w:val="28"/>
        </w:rPr>
        <w:t>2022</w:t>
      </w:r>
      <w:r w:rsidR="00020E4E">
        <w:rPr>
          <w:rFonts w:ascii="Times New Roman" w:eastAsia="Times New Roman" w:hAnsi="Times New Roman" w:cs="Times New Roman"/>
          <w:sz w:val="28"/>
          <w:szCs w:val="28"/>
        </w:rPr>
        <w:t>,</w:t>
      </w:r>
      <w:r w:rsidR="003647EF">
        <w:rPr>
          <w:rFonts w:ascii="Times New Roman" w:eastAsia="Times New Roman" w:hAnsi="Times New Roman" w:cs="Times New Roman"/>
          <w:sz w:val="28"/>
          <w:szCs w:val="28"/>
        </w:rPr>
        <w:t xml:space="preserve"> there </w:t>
      </w:r>
      <w:r w:rsidR="003B059E">
        <w:rPr>
          <w:rFonts w:ascii="Times New Roman" w:eastAsia="Times New Roman" w:hAnsi="Times New Roman" w:cs="Times New Roman"/>
          <w:sz w:val="28"/>
          <w:szCs w:val="28"/>
        </w:rPr>
        <w:t xml:space="preserve">were </w:t>
      </w:r>
      <w:r w:rsidR="002C4E0E">
        <w:rPr>
          <w:rFonts w:ascii="Times New Roman" w:eastAsia="Times New Roman" w:hAnsi="Times New Roman" w:cs="Times New Roman"/>
          <w:sz w:val="28"/>
          <w:szCs w:val="28"/>
        </w:rPr>
        <w:t>4,385</w:t>
      </w:r>
      <w:r w:rsidR="0040200D">
        <w:rPr>
          <w:rFonts w:ascii="Times New Roman" w:eastAsia="Times New Roman" w:hAnsi="Times New Roman" w:cs="Times New Roman"/>
          <w:sz w:val="28"/>
          <w:szCs w:val="28"/>
        </w:rPr>
        <w:t xml:space="preserve"> </w:t>
      </w:r>
      <w:r w:rsidR="009A0DC4" w:rsidRPr="007A7078">
        <w:rPr>
          <w:rFonts w:ascii="Times New Roman" w:eastAsia="Times New Roman" w:hAnsi="Times New Roman" w:cs="Times New Roman"/>
          <w:b/>
          <w:sz w:val="28"/>
          <w:szCs w:val="28"/>
        </w:rPr>
        <w:t>establishment births</w:t>
      </w:r>
      <w:r w:rsidR="00CF3447">
        <w:rPr>
          <w:rFonts w:ascii="Times New Roman" w:eastAsia="Times New Roman" w:hAnsi="Times New Roman" w:cs="Times New Roman"/>
          <w:sz w:val="28"/>
          <w:szCs w:val="28"/>
        </w:rPr>
        <w:t xml:space="preserve"> </w:t>
      </w:r>
      <w:r w:rsidR="009A0DC4" w:rsidRPr="007A7078">
        <w:rPr>
          <w:rFonts w:ascii="Times New Roman" w:eastAsia="Times New Roman" w:hAnsi="Times New Roman" w:cs="Times New Roman"/>
          <w:sz w:val="28"/>
          <w:szCs w:val="28"/>
        </w:rPr>
        <w:t>(a subset of t</w:t>
      </w:r>
      <w:r w:rsidR="002F5DF8" w:rsidRPr="007A7078">
        <w:rPr>
          <w:rFonts w:ascii="Times New Roman" w:eastAsia="Times New Roman" w:hAnsi="Times New Roman" w:cs="Times New Roman"/>
          <w:sz w:val="28"/>
          <w:szCs w:val="28"/>
        </w:rPr>
        <w:t>he openings data</w:t>
      </w:r>
      <w:r w:rsidR="009A0DC4" w:rsidRPr="007A7078">
        <w:rPr>
          <w:rFonts w:ascii="Times New Roman" w:eastAsia="Times New Roman" w:hAnsi="Times New Roman" w:cs="Times New Roman"/>
          <w:sz w:val="28"/>
          <w:szCs w:val="28"/>
        </w:rPr>
        <w:t>). These new establishments accounted for</w:t>
      </w:r>
      <w:r w:rsidR="001E7CB2">
        <w:rPr>
          <w:rFonts w:ascii="Times New Roman" w:eastAsia="Times New Roman" w:hAnsi="Times New Roman" w:cs="Times New Roman"/>
          <w:sz w:val="28"/>
          <w:szCs w:val="28"/>
        </w:rPr>
        <w:t xml:space="preserve"> </w:t>
      </w:r>
      <w:r w:rsidR="002C4E0E">
        <w:rPr>
          <w:rFonts w:ascii="Times New Roman" w:eastAsia="Times New Roman" w:hAnsi="Times New Roman" w:cs="Times New Roman"/>
          <w:sz w:val="28"/>
          <w:szCs w:val="28"/>
        </w:rPr>
        <w:t>9,879</w:t>
      </w:r>
      <w:r w:rsidR="003B059E">
        <w:rPr>
          <w:rFonts w:ascii="Times New Roman" w:eastAsia="Times New Roman" w:hAnsi="Times New Roman" w:cs="Times New Roman"/>
          <w:sz w:val="28"/>
          <w:szCs w:val="28"/>
        </w:rPr>
        <w:t xml:space="preserve"> jobs,</w:t>
      </w:r>
      <w:r w:rsidR="007D7788">
        <w:rPr>
          <w:rFonts w:ascii="Times New Roman" w:eastAsia="Times New Roman" w:hAnsi="Times New Roman" w:cs="Times New Roman"/>
          <w:sz w:val="28"/>
          <w:szCs w:val="28"/>
        </w:rPr>
        <w:t xml:space="preserve"> </w:t>
      </w:r>
      <w:r w:rsidR="002C4E0E">
        <w:rPr>
          <w:rFonts w:ascii="Times New Roman" w:eastAsia="Times New Roman" w:hAnsi="Times New Roman" w:cs="Times New Roman"/>
          <w:sz w:val="28"/>
          <w:szCs w:val="28"/>
        </w:rPr>
        <w:t>361</w:t>
      </w:r>
      <w:r w:rsidR="00C42F53">
        <w:rPr>
          <w:rFonts w:ascii="Times New Roman" w:eastAsia="Times New Roman" w:hAnsi="Times New Roman" w:cs="Times New Roman"/>
          <w:sz w:val="28"/>
          <w:szCs w:val="28"/>
        </w:rPr>
        <w:t xml:space="preserve"> less</w:t>
      </w:r>
      <w:r w:rsidR="00A47202">
        <w:rPr>
          <w:rFonts w:ascii="Times New Roman" w:eastAsia="Times New Roman" w:hAnsi="Times New Roman" w:cs="Times New Roman"/>
          <w:sz w:val="28"/>
          <w:szCs w:val="28"/>
        </w:rPr>
        <w:t xml:space="preserve"> than</w:t>
      </w:r>
      <w:r w:rsidR="009A0DC4" w:rsidRPr="007A7078">
        <w:rPr>
          <w:rFonts w:ascii="Times New Roman" w:eastAsia="Times New Roman" w:hAnsi="Times New Roman" w:cs="Times New Roman"/>
          <w:sz w:val="28"/>
          <w:szCs w:val="28"/>
        </w:rPr>
        <w:t xml:space="preserve"> th</w:t>
      </w:r>
      <w:r w:rsidR="009B5C2E" w:rsidRPr="007A7078">
        <w:rPr>
          <w:rFonts w:ascii="Times New Roman" w:eastAsia="Times New Roman" w:hAnsi="Times New Roman" w:cs="Times New Roman"/>
          <w:sz w:val="28"/>
          <w:szCs w:val="28"/>
        </w:rPr>
        <w:t xml:space="preserve">e previous quarter. </w:t>
      </w:r>
    </w:p>
    <w:p w14:paraId="2FE44F16" w14:textId="77777777" w:rsidR="009B5C2E" w:rsidRPr="007A7078" w:rsidRDefault="009B5C2E" w:rsidP="009A0DC4">
      <w:pPr>
        <w:spacing w:after="0" w:line="240" w:lineRule="auto"/>
        <w:rPr>
          <w:rFonts w:ascii="Times New Roman" w:eastAsia="Times New Roman" w:hAnsi="Times New Roman" w:cs="Times New Roman"/>
          <w:sz w:val="28"/>
          <w:szCs w:val="28"/>
        </w:rPr>
      </w:pPr>
    </w:p>
    <w:p w14:paraId="64BADA8D" w14:textId="29352116" w:rsidR="009A0DC4" w:rsidRPr="007A7078" w:rsidRDefault="009A0DC4" w:rsidP="009A0DC4">
      <w:pPr>
        <w:spacing w:after="0" w:line="240" w:lineRule="auto"/>
        <w:rPr>
          <w:rFonts w:ascii="Times New Roman" w:eastAsia="Times New Roman" w:hAnsi="Times New Roman" w:cs="Times New Roman"/>
          <w:sz w:val="28"/>
          <w:szCs w:val="28"/>
        </w:rPr>
      </w:pPr>
      <w:r w:rsidRPr="00FB3D05">
        <w:rPr>
          <w:rFonts w:ascii="Times New Roman" w:eastAsia="Times New Roman" w:hAnsi="Times New Roman" w:cs="Times New Roman"/>
          <w:sz w:val="28"/>
          <w:szCs w:val="28"/>
        </w:rPr>
        <w:t xml:space="preserve">Data for </w:t>
      </w:r>
      <w:r w:rsidRPr="00FB3D05">
        <w:rPr>
          <w:rFonts w:ascii="Times New Roman" w:eastAsia="Times New Roman" w:hAnsi="Times New Roman" w:cs="Times New Roman"/>
          <w:b/>
          <w:sz w:val="28"/>
          <w:szCs w:val="28"/>
        </w:rPr>
        <w:t>establishment deaths</w:t>
      </w:r>
      <w:r w:rsidRPr="00FB3D05">
        <w:rPr>
          <w:rFonts w:ascii="Times New Roman" w:eastAsia="Times New Roman" w:hAnsi="Times New Roman" w:cs="Times New Roman"/>
          <w:sz w:val="28"/>
          <w:szCs w:val="28"/>
        </w:rPr>
        <w:t xml:space="preserve"> (a subset of the closings data) are available through </w:t>
      </w:r>
      <w:r w:rsidR="00CF3447">
        <w:rPr>
          <w:rFonts w:ascii="Times New Roman" w:eastAsia="Times New Roman" w:hAnsi="Times New Roman" w:cs="Times New Roman"/>
          <w:sz w:val="28"/>
          <w:szCs w:val="28"/>
        </w:rPr>
        <w:t>the</w:t>
      </w:r>
      <w:r w:rsidR="004A5201">
        <w:rPr>
          <w:rFonts w:ascii="Times New Roman" w:eastAsia="Times New Roman" w:hAnsi="Times New Roman" w:cs="Times New Roman"/>
          <w:sz w:val="28"/>
          <w:szCs w:val="28"/>
        </w:rPr>
        <w:t xml:space="preserve"> </w:t>
      </w:r>
      <w:r w:rsidR="00C42F53">
        <w:rPr>
          <w:rFonts w:ascii="Times New Roman" w:eastAsia="Times New Roman" w:hAnsi="Times New Roman" w:cs="Times New Roman"/>
          <w:sz w:val="28"/>
          <w:szCs w:val="28"/>
        </w:rPr>
        <w:t xml:space="preserve">second </w:t>
      </w:r>
      <w:r w:rsidR="00A47202">
        <w:rPr>
          <w:rFonts w:ascii="Times New Roman" w:eastAsia="Times New Roman" w:hAnsi="Times New Roman" w:cs="Times New Roman"/>
          <w:sz w:val="28"/>
          <w:szCs w:val="28"/>
        </w:rPr>
        <w:t>quarter of 2</w:t>
      </w:r>
      <w:r w:rsidR="001E7CB2">
        <w:rPr>
          <w:rFonts w:ascii="Times New Roman" w:eastAsia="Times New Roman" w:hAnsi="Times New Roman" w:cs="Times New Roman"/>
          <w:sz w:val="28"/>
          <w:szCs w:val="28"/>
        </w:rPr>
        <w:t>02</w:t>
      </w:r>
      <w:r w:rsidR="002C4E0E">
        <w:rPr>
          <w:rFonts w:ascii="Times New Roman" w:eastAsia="Times New Roman" w:hAnsi="Times New Roman" w:cs="Times New Roman"/>
          <w:sz w:val="28"/>
          <w:szCs w:val="28"/>
        </w:rPr>
        <w:t>1</w:t>
      </w:r>
      <w:r w:rsidRPr="00FB3D05">
        <w:rPr>
          <w:rFonts w:ascii="Times New Roman" w:eastAsia="Times New Roman" w:hAnsi="Times New Roman" w:cs="Times New Roman"/>
          <w:sz w:val="28"/>
          <w:szCs w:val="28"/>
        </w:rPr>
        <w:t xml:space="preserve">, </w:t>
      </w:r>
      <w:r w:rsidR="001F74F6" w:rsidRPr="00FB3D05">
        <w:rPr>
          <w:rFonts w:ascii="Times New Roman" w:eastAsia="Times New Roman" w:hAnsi="Times New Roman" w:cs="Times New Roman"/>
          <w:sz w:val="28"/>
          <w:szCs w:val="28"/>
        </w:rPr>
        <w:t>where</w:t>
      </w:r>
      <w:r w:rsidR="002C4E0E">
        <w:rPr>
          <w:rFonts w:ascii="Times New Roman" w:eastAsia="Times New Roman" w:hAnsi="Times New Roman" w:cs="Times New Roman"/>
          <w:sz w:val="28"/>
          <w:szCs w:val="28"/>
        </w:rPr>
        <w:t xml:space="preserve"> 6,543</w:t>
      </w:r>
      <w:r w:rsidRPr="00FB3D05">
        <w:rPr>
          <w:rFonts w:ascii="Times New Roman" w:eastAsia="Times New Roman" w:hAnsi="Times New Roman" w:cs="Times New Roman"/>
          <w:sz w:val="28"/>
          <w:szCs w:val="28"/>
        </w:rPr>
        <w:t xml:space="preserve"> jobs were lost at </w:t>
      </w:r>
      <w:r w:rsidR="002C4E0E">
        <w:rPr>
          <w:rFonts w:ascii="Times New Roman" w:eastAsia="Times New Roman" w:hAnsi="Times New Roman" w:cs="Times New Roman"/>
          <w:sz w:val="28"/>
          <w:szCs w:val="28"/>
        </w:rPr>
        <w:t>2,484</w:t>
      </w:r>
      <w:r w:rsidR="0040200D">
        <w:rPr>
          <w:rFonts w:ascii="Times New Roman" w:eastAsia="Times New Roman" w:hAnsi="Times New Roman" w:cs="Times New Roman"/>
          <w:sz w:val="28"/>
          <w:szCs w:val="28"/>
        </w:rPr>
        <w:t xml:space="preserve"> </w:t>
      </w:r>
      <w:r w:rsidR="004475D3">
        <w:rPr>
          <w:rFonts w:ascii="Times New Roman" w:eastAsia="Times New Roman" w:hAnsi="Times New Roman" w:cs="Times New Roman"/>
          <w:sz w:val="28"/>
          <w:szCs w:val="28"/>
        </w:rPr>
        <w:t>establishment deaths</w:t>
      </w:r>
      <w:r w:rsidRPr="00FB3D05">
        <w:rPr>
          <w:rFonts w:ascii="Times New Roman" w:eastAsia="Times New Roman" w:hAnsi="Times New Roman" w:cs="Times New Roman"/>
          <w:sz w:val="28"/>
          <w:szCs w:val="28"/>
        </w:rPr>
        <w:t xml:space="preserve">. In the prior </w:t>
      </w:r>
      <w:r w:rsidR="00A0654D" w:rsidRPr="00FB3D05">
        <w:rPr>
          <w:rFonts w:ascii="Times New Roman" w:eastAsia="Times New Roman" w:hAnsi="Times New Roman" w:cs="Times New Roman"/>
          <w:sz w:val="28"/>
          <w:szCs w:val="28"/>
        </w:rPr>
        <w:t xml:space="preserve">quarter, </w:t>
      </w:r>
      <w:r w:rsidR="002C4E0E">
        <w:rPr>
          <w:rFonts w:ascii="Times New Roman" w:eastAsia="Times New Roman" w:hAnsi="Times New Roman" w:cs="Times New Roman"/>
          <w:sz w:val="28"/>
          <w:szCs w:val="28"/>
        </w:rPr>
        <w:t>6,058</w:t>
      </w:r>
      <w:r w:rsidR="00CF3447">
        <w:rPr>
          <w:rFonts w:ascii="Times New Roman" w:eastAsia="Times New Roman" w:hAnsi="Times New Roman" w:cs="Times New Roman"/>
          <w:sz w:val="28"/>
          <w:szCs w:val="28"/>
        </w:rPr>
        <w:t xml:space="preserve"> jobs were lost at </w:t>
      </w:r>
      <w:r w:rsidR="00C42F53">
        <w:rPr>
          <w:rFonts w:ascii="Times New Roman" w:eastAsia="Times New Roman" w:hAnsi="Times New Roman" w:cs="Times New Roman"/>
          <w:sz w:val="28"/>
          <w:szCs w:val="28"/>
        </w:rPr>
        <w:t>2,</w:t>
      </w:r>
      <w:r w:rsidR="002C4E0E">
        <w:rPr>
          <w:rFonts w:ascii="Times New Roman" w:eastAsia="Times New Roman" w:hAnsi="Times New Roman" w:cs="Times New Roman"/>
          <w:sz w:val="28"/>
          <w:szCs w:val="28"/>
        </w:rPr>
        <w:t>4</w:t>
      </w:r>
      <w:r w:rsidR="00396A74">
        <w:rPr>
          <w:rFonts w:ascii="Times New Roman" w:eastAsia="Times New Roman" w:hAnsi="Times New Roman" w:cs="Times New Roman"/>
          <w:sz w:val="28"/>
          <w:szCs w:val="28"/>
        </w:rPr>
        <w:t>09</w:t>
      </w:r>
      <w:r w:rsidR="00F3038E" w:rsidRPr="00FB3D05">
        <w:rPr>
          <w:rFonts w:ascii="Times New Roman" w:eastAsia="Times New Roman" w:hAnsi="Times New Roman" w:cs="Times New Roman"/>
          <w:sz w:val="28"/>
          <w:szCs w:val="28"/>
        </w:rPr>
        <w:t xml:space="preserve"> </w:t>
      </w:r>
      <w:r w:rsidR="009435B8">
        <w:rPr>
          <w:rFonts w:ascii="Times New Roman" w:eastAsia="Times New Roman" w:hAnsi="Times New Roman" w:cs="Times New Roman"/>
          <w:sz w:val="28"/>
          <w:szCs w:val="28"/>
        </w:rPr>
        <w:t>establishment deaths</w:t>
      </w:r>
      <w:r w:rsidR="009B5C2E" w:rsidRPr="00FB3D05">
        <w:rPr>
          <w:rFonts w:ascii="Times New Roman" w:eastAsia="Times New Roman" w:hAnsi="Times New Roman" w:cs="Times New Roman"/>
          <w:sz w:val="28"/>
          <w:szCs w:val="28"/>
        </w:rPr>
        <w:t>.</w:t>
      </w:r>
      <w:r w:rsidR="00C42F53">
        <w:rPr>
          <w:rFonts w:ascii="Times New Roman" w:eastAsia="Times New Roman" w:hAnsi="Times New Roman" w:cs="Times New Roman"/>
          <w:sz w:val="28"/>
          <w:szCs w:val="28"/>
        </w:rPr>
        <w:t xml:space="preserve">  </w:t>
      </w:r>
    </w:p>
    <w:p w14:paraId="6F5F5213" w14:textId="77777777" w:rsidR="001329FE" w:rsidRDefault="001329FE" w:rsidP="009A0DC4">
      <w:pPr>
        <w:spacing w:after="0" w:line="240" w:lineRule="auto"/>
        <w:rPr>
          <w:rFonts w:ascii="Times New Roman" w:eastAsia="Times New Roman" w:hAnsi="Times New Roman" w:cs="Times New Roman"/>
          <w:sz w:val="30"/>
          <w:szCs w:val="30"/>
        </w:rPr>
      </w:pPr>
    </w:p>
    <w:p w14:paraId="36DC9099" w14:textId="73C6312F" w:rsidR="008D637E" w:rsidRDefault="00B2445A" w:rsidP="00F92959">
      <w:pPr>
        <w:spacing w:after="0" w:line="240" w:lineRule="auto"/>
        <w:jc w:val="center"/>
        <w:rPr>
          <w:rFonts w:ascii="Times New Roman" w:eastAsia="Times New Roman" w:hAnsi="Times New Roman" w:cs="Times New Roman"/>
          <w:sz w:val="30"/>
          <w:szCs w:val="30"/>
        </w:rPr>
      </w:pPr>
      <w:r>
        <w:rPr>
          <w:noProof/>
        </w:rPr>
        <w:drawing>
          <wp:inline distT="0" distB="0" distL="0" distR="0" wp14:anchorId="693DCA03" wp14:editId="2A4E99C0">
            <wp:extent cx="4971415" cy="2771775"/>
            <wp:effectExtent l="0" t="0" r="635" b="9525"/>
            <wp:docPr id="12" name="Chart 1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eastAsia="Times New Roman" w:hAnsi="Times New Roman" w:cs="Times New Roman"/>
          <w:sz w:val="30"/>
          <w:szCs w:val="30"/>
        </w:rPr>
        <w:br/>
      </w:r>
    </w:p>
    <w:p w14:paraId="6E5F32D8" w14:textId="2B87A5CD" w:rsidR="001E7CB2" w:rsidRDefault="009B5C2E" w:rsidP="00BA5D8C">
      <w:pPr>
        <w:spacing w:after="0" w:line="240" w:lineRule="auto"/>
        <w:rPr>
          <w:rFonts w:ascii="Times New Roman" w:eastAsia="Times New Roman" w:hAnsi="Times New Roman" w:cs="Times New Roman"/>
          <w:sz w:val="28"/>
          <w:szCs w:val="28"/>
        </w:rPr>
      </w:pPr>
      <w:r w:rsidRPr="00AA6ED5">
        <w:rPr>
          <w:rFonts w:ascii="Times New Roman" w:eastAsia="Times New Roman" w:hAnsi="Times New Roman" w:cs="Times New Roman"/>
          <w:sz w:val="28"/>
          <w:szCs w:val="28"/>
        </w:rPr>
        <w:lastRenderedPageBreak/>
        <w:t xml:space="preserve">The </w:t>
      </w:r>
      <w:r w:rsidRPr="00AA6ED5">
        <w:rPr>
          <w:rFonts w:ascii="Times New Roman" w:eastAsia="Times New Roman" w:hAnsi="Times New Roman" w:cs="Times New Roman"/>
          <w:b/>
          <w:sz w:val="28"/>
          <w:szCs w:val="28"/>
        </w:rPr>
        <w:t>net change</w:t>
      </w:r>
      <w:r w:rsidRPr="00AA6ED5">
        <w:rPr>
          <w:rFonts w:ascii="Times New Roman" w:eastAsia="Times New Roman" w:hAnsi="Times New Roman" w:cs="Times New Roman"/>
          <w:sz w:val="28"/>
          <w:szCs w:val="28"/>
        </w:rPr>
        <w:t xml:space="preserve"> of </w:t>
      </w:r>
      <w:r w:rsidRPr="00AA6ED5">
        <w:rPr>
          <w:rFonts w:ascii="Times New Roman" w:eastAsia="Times New Roman" w:hAnsi="Times New Roman" w:cs="Times New Roman"/>
          <w:b/>
          <w:sz w:val="28"/>
          <w:szCs w:val="28"/>
        </w:rPr>
        <w:t>establishment births and deaths</w:t>
      </w:r>
      <w:r w:rsidRPr="00AA6ED5">
        <w:rPr>
          <w:rFonts w:ascii="Times New Roman" w:eastAsia="Times New Roman" w:hAnsi="Times New Roman" w:cs="Times New Roman"/>
          <w:sz w:val="28"/>
          <w:szCs w:val="28"/>
        </w:rPr>
        <w:t xml:space="preserve"> went </w:t>
      </w:r>
      <w:r w:rsidR="00026DE4" w:rsidRPr="00AA6ED5">
        <w:rPr>
          <w:rFonts w:ascii="Times New Roman" w:eastAsia="Times New Roman" w:hAnsi="Times New Roman" w:cs="Times New Roman"/>
          <w:sz w:val="28"/>
          <w:szCs w:val="28"/>
        </w:rPr>
        <w:t xml:space="preserve">consistently </w:t>
      </w:r>
      <w:r w:rsidRPr="00AA6ED5">
        <w:rPr>
          <w:rFonts w:ascii="Times New Roman" w:eastAsia="Times New Roman" w:hAnsi="Times New Roman" w:cs="Times New Roman"/>
          <w:sz w:val="28"/>
          <w:szCs w:val="28"/>
        </w:rPr>
        <w:t>nega</w:t>
      </w:r>
      <w:r w:rsidR="00026DE4" w:rsidRPr="00AA6ED5">
        <w:rPr>
          <w:rFonts w:ascii="Times New Roman" w:eastAsia="Times New Roman" w:hAnsi="Times New Roman" w:cs="Times New Roman"/>
          <w:sz w:val="28"/>
          <w:szCs w:val="28"/>
        </w:rPr>
        <w:t xml:space="preserve">tive </w:t>
      </w:r>
      <w:r w:rsidR="00FE15AC" w:rsidRPr="00AA6ED5">
        <w:rPr>
          <w:rFonts w:ascii="Times New Roman" w:eastAsia="Times New Roman" w:hAnsi="Times New Roman" w:cs="Times New Roman"/>
          <w:sz w:val="28"/>
          <w:szCs w:val="28"/>
        </w:rPr>
        <w:t xml:space="preserve">during the </w:t>
      </w:r>
      <w:r w:rsidR="0040200D">
        <w:rPr>
          <w:rFonts w:ascii="Times New Roman" w:eastAsia="Times New Roman" w:hAnsi="Times New Roman" w:cs="Times New Roman"/>
          <w:sz w:val="28"/>
          <w:szCs w:val="28"/>
        </w:rPr>
        <w:t xml:space="preserve">last </w:t>
      </w:r>
      <w:r w:rsidR="00FE15AC" w:rsidRPr="00AA6ED5">
        <w:rPr>
          <w:rFonts w:ascii="Times New Roman" w:eastAsia="Times New Roman" w:hAnsi="Times New Roman" w:cs="Times New Roman"/>
          <w:sz w:val="28"/>
          <w:szCs w:val="28"/>
        </w:rPr>
        <w:t>recession from the first quarter of 2008</w:t>
      </w:r>
      <w:r w:rsidR="00714CDA">
        <w:rPr>
          <w:rFonts w:ascii="Times New Roman" w:eastAsia="Times New Roman" w:hAnsi="Times New Roman" w:cs="Times New Roman"/>
          <w:sz w:val="28"/>
          <w:szCs w:val="28"/>
        </w:rPr>
        <w:t xml:space="preserve"> </w:t>
      </w:r>
      <w:r w:rsidR="008D6C43" w:rsidRPr="00AA6ED5">
        <w:rPr>
          <w:rFonts w:ascii="Times New Roman" w:eastAsia="Times New Roman" w:hAnsi="Times New Roman" w:cs="Times New Roman"/>
          <w:sz w:val="28"/>
          <w:szCs w:val="28"/>
        </w:rPr>
        <w:t>through the</w:t>
      </w:r>
      <w:r w:rsidR="00026DE4" w:rsidRPr="00AA6ED5">
        <w:rPr>
          <w:rFonts w:ascii="Times New Roman" w:eastAsia="Times New Roman" w:hAnsi="Times New Roman" w:cs="Times New Roman"/>
          <w:sz w:val="28"/>
          <w:szCs w:val="28"/>
        </w:rPr>
        <w:t xml:space="preserve"> first quarter of 2010.</w:t>
      </w:r>
      <w:r w:rsidR="0040200D">
        <w:rPr>
          <w:rFonts w:ascii="Times New Roman" w:eastAsia="Times New Roman" w:hAnsi="Times New Roman" w:cs="Times New Roman"/>
          <w:sz w:val="28"/>
          <w:szCs w:val="28"/>
        </w:rPr>
        <w:t xml:space="preserve">  </w:t>
      </w:r>
      <w:r w:rsidR="0040200D" w:rsidRPr="00AA6ED5">
        <w:rPr>
          <w:rFonts w:ascii="Times New Roman" w:eastAsia="Times New Roman" w:hAnsi="Times New Roman" w:cs="Times New Roman"/>
          <w:sz w:val="28"/>
          <w:szCs w:val="28"/>
        </w:rPr>
        <w:t>During those 9 quarters of recession, Connecticut averaged a net decrease of 640 establishments per quarter, with the largest net establishment decline occurring at the end of the recession, down 1,784 in the first quarter of 2010</w:t>
      </w:r>
      <w:r w:rsidR="0040200D">
        <w:rPr>
          <w:rFonts w:ascii="Times New Roman" w:eastAsia="Times New Roman" w:hAnsi="Times New Roman" w:cs="Times New Roman"/>
          <w:sz w:val="28"/>
          <w:szCs w:val="28"/>
        </w:rPr>
        <w:t>.  From 2010</w:t>
      </w:r>
      <w:r w:rsidR="00C42F53">
        <w:rPr>
          <w:rFonts w:ascii="Times New Roman" w:eastAsia="Times New Roman" w:hAnsi="Times New Roman" w:cs="Times New Roman"/>
          <w:sz w:val="28"/>
          <w:szCs w:val="28"/>
        </w:rPr>
        <w:t>Q2</w:t>
      </w:r>
      <w:r w:rsidR="0040200D">
        <w:rPr>
          <w:rFonts w:ascii="Times New Roman" w:eastAsia="Times New Roman" w:hAnsi="Times New Roman" w:cs="Times New Roman"/>
          <w:sz w:val="28"/>
          <w:szCs w:val="28"/>
        </w:rPr>
        <w:t>-2018</w:t>
      </w:r>
      <w:r w:rsidR="0094656F">
        <w:rPr>
          <w:rFonts w:ascii="Times New Roman" w:eastAsia="Times New Roman" w:hAnsi="Times New Roman" w:cs="Times New Roman"/>
          <w:sz w:val="28"/>
          <w:szCs w:val="28"/>
        </w:rPr>
        <w:t>Q4</w:t>
      </w:r>
      <w:r w:rsidR="0040200D">
        <w:rPr>
          <w:rFonts w:ascii="Times New Roman" w:eastAsia="Times New Roman" w:hAnsi="Times New Roman" w:cs="Times New Roman"/>
          <w:sz w:val="28"/>
          <w:szCs w:val="28"/>
        </w:rPr>
        <w:t xml:space="preserve">, it ranged between -354 and +903 quarter to quarter change.  </w:t>
      </w:r>
      <w:r w:rsidR="0040200D">
        <w:rPr>
          <w:rFonts w:ascii="Times New Roman" w:eastAsia="Times New Roman" w:hAnsi="Times New Roman" w:cs="Times New Roman"/>
          <w:sz w:val="28"/>
          <w:szCs w:val="28"/>
        </w:rPr>
        <w:br/>
      </w:r>
      <w:r w:rsidR="0040200D">
        <w:rPr>
          <w:rFonts w:ascii="Times New Roman" w:eastAsia="Times New Roman" w:hAnsi="Times New Roman" w:cs="Times New Roman"/>
          <w:sz w:val="28"/>
          <w:szCs w:val="28"/>
        </w:rPr>
        <w:br/>
      </w:r>
      <w:r w:rsidR="00F023F6">
        <w:rPr>
          <w:rFonts w:ascii="Times New Roman" w:eastAsia="Times New Roman" w:hAnsi="Times New Roman" w:cs="Times New Roman"/>
          <w:sz w:val="28"/>
          <w:szCs w:val="28"/>
        </w:rPr>
        <w:t>During the first half of 2019, net change fell by 1,945 establishments in the first quarter and 552 in the second.   It recovered to a 63 establishment increase in the third quarter and fell by 159 in the fourth quarter of 2019.  During the first quarter of 2020, net establishment births and deaths was up 4,119 and was down 1,559 during the second qu</w:t>
      </w:r>
      <w:r w:rsidR="00F023F6" w:rsidRPr="009B1FF1">
        <w:rPr>
          <w:rFonts w:ascii="Times New Roman" w:eastAsia="Times New Roman" w:hAnsi="Times New Roman" w:cs="Times New Roman"/>
          <w:sz w:val="28"/>
          <w:szCs w:val="28"/>
        </w:rPr>
        <w:t>arter of 2020.  By the f</w:t>
      </w:r>
      <w:r w:rsidR="00F023F6">
        <w:rPr>
          <w:rFonts w:ascii="Times New Roman" w:eastAsia="Times New Roman" w:hAnsi="Times New Roman" w:cs="Times New Roman"/>
          <w:sz w:val="28"/>
          <w:szCs w:val="28"/>
        </w:rPr>
        <w:t>irst</w:t>
      </w:r>
      <w:r w:rsidR="00F023F6" w:rsidRPr="009B1FF1">
        <w:rPr>
          <w:rFonts w:ascii="Times New Roman" w:eastAsia="Times New Roman" w:hAnsi="Times New Roman" w:cs="Times New Roman"/>
          <w:sz w:val="28"/>
          <w:szCs w:val="28"/>
        </w:rPr>
        <w:t xml:space="preserve"> quarter of 202</w:t>
      </w:r>
      <w:r w:rsidR="00F023F6">
        <w:rPr>
          <w:rFonts w:ascii="Times New Roman" w:eastAsia="Times New Roman" w:hAnsi="Times New Roman" w:cs="Times New Roman"/>
          <w:sz w:val="28"/>
          <w:szCs w:val="28"/>
        </w:rPr>
        <w:t xml:space="preserve">2 </w:t>
      </w:r>
      <w:r w:rsidR="00F023F6" w:rsidRPr="009B1FF1">
        <w:rPr>
          <w:rFonts w:ascii="Times New Roman" w:eastAsia="Times New Roman" w:hAnsi="Times New Roman" w:cs="Times New Roman"/>
          <w:sz w:val="28"/>
          <w:szCs w:val="28"/>
        </w:rPr>
        <w:t>(the last quarter of available data), net gains were up 1</w:t>
      </w:r>
      <w:r w:rsidR="00F023F6">
        <w:rPr>
          <w:rFonts w:ascii="Times New Roman" w:eastAsia="Times New Roman" w:hAnsi="Times New Roman" w:cs="Times New Roman"/>
          <w:sz w:val="28"/>
          <w:szCs w:val="28"/>
        </w:rPr>
        <w:t>,691</w:t>
      </w:r>
      <w:r w:rsidR="00F023F6" w:rsidRPr="009B1FF1">
        <w:rPr>
          <w:rFonts w:ascii="Times New Roman" w:eastAsia="Times New Roman" w:hAnsi="Times New Roman" w:cs="Times New Roman"/>
          <w:sz w:val="28"/>
          <w:szCs w:val="28"/>
        </w:rPr>
        <w:t>.  These net establishment changes are heavily impacted by the 2020 recession as is shown in Chart 4.</w:t>
      </w:r>
      <w:r w:rsidR="00F023F6">
        <w:rPr>
          <w:rFonts w:ascii="Times New Roman" w:eastAsia="Times New Roman" w:hAnsi="Times New Roman" w:cs="Times New Roman"/>
          <w:sz w:val="28"/>
          <w:szCs w:val="28"/>
        </w:rPr>
        <w:br/>
      </w:r>
    </w:p>
    <w:p w14:paraId="6FF1C544" w14:textId="57AD2BE1" w:rsidR="002D0151" w:rsidRDefault="00316093" w:rsidP="009A0DC4">
      <w:pPr>
        <w:spacing w:after="0" w:line="240" w:lineRule="auto"/>
        <w:rPr>
          <w:noProof/>
        </w:rPr>
      </w:pPr>
      <w:r w:rsidRPr="007A7078">
        <w:rPr>
          <w:rFonts w:ascii="Times New Roman" w:eastAsia="Times New Roman" w:hAnsi="Times New Roman" w:cs="Times New Roman"/>
          <w:sz w:val="28"/>
          <w:szCs w:val="28"/>
        </w:rPr>
        <w:t>During</w:t>
      </w:r>
      <w:r w:rsidR="00707D93">
        <w:rPr>
          <w:rFonts w:ascii="Times New Roman" w:eastAsia="Times New Roman" w:hAnsi="Times New Roman" w:cs="Times New Roman"/>
          <w:sz w:val="28"/>
          <w:szCs w:val="28"/>
        </w:rPr>
        <w:t xml:space="preserve"> the</w:t>
      </w:r>
      <w:r w:rsidR="00A369AC">
        <w:rPr>
          <w:rFonts w:ascii="Times New Roman" w:eastAsia="Times New Roman" w:hAnsi="Times New Roman" w:cs="Times New Roman"/>
          <w:sz w:val="28"/>
          <w:szCs w:val="28"/>
        </w:rPr>
        <w:t xml:space="preserve"> </w:t>
      </w:r>
      <w:r w:rsidR="001E7CB2">
        <w:rPr>
          <w:rFonts w:ascii="Times New Roman" w:eastAsia="Times New Roman" w:hAnsi="Times New Roman" w:cs="Times New Roman"/>
          <w:sz w:val="28"/>
          <w:szCs w:val="28"/>
        </w:rPr>
        <w:t>f</w:t>
      </w:r>
      <w:r w:rsidR="0094656F">
        <w:rPr>
          <w:rFonts w:ascii="Times New Roman" w:eastAsia="Times New Roman" w:hAnsi="Times New Roman" w:cs="Times New Roman"/>
          <w:sz w:val="28"/>
          <w:szCs w:val="28"/>
        </w:rPr>
        <w:t>irst</w:t>
      </w:r>
      <w:r w:rsidR="001E7CB2">
        <w:rPr>
          <w:rFonts w:ascii="Times New Roman" w:eastAsia="Times New Roman" w:hAnsi="Times New Roman" w:cs="Times New Roman"/>
          <w:sz w:val="28"/>
          <w:szCs w:val="28"/>
        </w:rPr>
        <w:t xml:space="preserve"> </w:t>
      </w:r>
      <w:r w:rsidR="00230875">
        <w:rPr>
          <w:rFonts w:ascii="Times New Roman" w:eastAsia="Times New Roman" w:hAnsi="Times New Roman" w:cs="Times New Roman"/>
          <w:sz w:val="28"/>
          <w:szCs w:val="28"/>
        </w:rPr>
        <w:t>quarter</w:t>
      </w:r>
      <w:r w:rsidR="00D2556A">
        <w:rPr>
          <w:rFonts w:ascii="Times New Roman" w:eastAsia="Times New Roman" w:hAnsi="Times New Roman" w:cs="Times New Roman"/>
          <w:sz w:val="28"/>
          <w:szCs w:val="28"/>
        </w:rPr>
        <w:t xml:space="preserve"> of </w:t>
      </w:r>
      <w:r w:rsidR="00EF0248">
        <w:rPr>
          <w:rFonts w:ascii="Times New Roman" w:eastAsia="Times New Roman" w:hAnsi="Times New Roman" w:cs="Times New Roman"/>
          <w:sz w:val="28"/>
          <w:szCs w:val="28"/>
        </w:rPr>
        <w:t>2022</w:t>
      </w:r>
      <w:r w:rsidR="00745757">
        <w:rPr>
          <w:rFonts w:ascii="Times New Roman" w:eastAsia="Times New Roman" w:hAnsi="Times New Roman" w:cs="Times New Roman"/>
          <w:sz w:val="28"/>
          <w:szCs w:val="28"/>
        </w:rPr>
        <w:t>,</w:t>
      </w:r>
      <w:r w:rsidR="00446580">
        <w:rPr>
          <w:rFonts w:ascii="Times New Roman" w:eastAsia="Times New Roman" w:hAnsi="Times New Roman" w:cs="Times New Roman"/>
          <w:sz w:val="28"/>
          <w:szCs w:val="28"/>
        </w:rPr>
        <w:t xml:space="preserve"> </w:t>
      </w:r>
      <w:r w:rsidR="00182341">
        <w:rPr>
          <w:rFonts w:ascii="Times New Roman" w:eastAsia="Times New Roman" w:hAnsi="Times New Roman" w:cs="Times New Roman"/>
          <w:b/>
          <w:sz w:val="28"/>
          <w:szCs w:val="28"/>
        </w:rPr>
        <w:t xml:space="preserve">gross job </w:t>
      </w:r>
      <w:r w:rsidR="007D7788">
        <w:rPr>
          <w:rFonts w:ascii="Times New Roman" w:eastAsia="Times New Roman" w:hAnsi="Times New Roman" w:cs="Times New Roman"/>
          <w:b/>
          <w:sz w:val="28"/>
          <w:szCs w:val="28"/>
        </w:rPr>
        <w:t>gains</w:t>
      </w:r>
      <w:r w:rsidR="00446580">
        <w:rPr>
          <w:rFonts w:ascii="Times New Roman" w:eastAsia="Times New Roman" w:hAnsi="Times New Roman" w:cs="Times New Roman"/>
          <w:b/>
          <w:sz w:val="28"/>
          <w:szCs w:val="28"/>
        </w:rPr>
        <w:t xml:space="preserve"> </w:t>
      </w:r>
      <w:r w:rsidR="00446580">
        <w:rPr>
          <w:rFonts w:ascii="Times New Roman" w:eastAsia="Times New Roman" w:hAnsi="Times New Roman" w:cs="Times New Roman"/>
          <w:sz w:val="28"/>
          <w:szCs w:val="28"/>
        </w:rPr>
        <w:t xml:space="preserve">exceeded </w:t>
      </w:r>
      <w:r w:rsidR="009435B8">
        <w:rPr>
          <w:rFonts w:ascii="Times New Roman" w:eastAsia="Times New Roman" w:hAnsi="Times New Roman" w:cs="Times New Roman"/>
          <w:b/>
          <w:sz w:val="28"/>
          <w:szCs w:val="28"/>
        </w:rPr>
        <w:t xml:space="preserve">gross job </w:t>
      </w:r>
      <w:r w:rsidR="007D7788">
        <w:rPr>
          <w:rFonts w:ascii="Times New Roman" w:eastAsia="Times New Roman" w:hAnsi="Times New Roman" w:cs="Times New Roman"/>
          <w:b/>
          <w:sz w:val="28"/>
          <w:szCs w:val="28"/>
        </w:rPr>
        <w:t>losse</w:t>
      </w:r>
      <w:r w:rsidR="00182341">
        <w:rPr>
          <w:rFonts w:ascii="Times New Roman" w:eastAsia="Times New Roman" w:hAnsi="Times New Roman" w:cs="Times New Roman"/>
          <w:b/>
          <w:sz w:val="28"/>
          <w:szCs w:val="28"/>
        </w:rPr>
        <w:t>s</w:t>
      </w:r>
      <w:r w:rsidR="009542A8">
        <w:rPr>
          <w:rFonts w:ascii="Times New Roman" w:eastAsia="Times New Roman" w:hAnsi="Times New Roman" w:cs="Times New Roman"/>
          <w:sz w:val="28"/>
          <w:szCs w:val="28"/>
        </w:rPr>
        <w:t xml:space="preserve"> in</w:t>
      </w:r>
      <w:r w:rsidR="00182341">
        <w:rPr>
          <w:rFonts w:ascii="Times New Roman" w:eastAsia="Times New Roman" w:hAnsi="Times New Roman" w:cs="Times New Roman"/>
          <w:sz w:val="28"/>
          <w:szCs w:val="28"/>
        </w:rPr>
        <w:t xml:space="preserve"> </w:t>
      </w:r>
      <w:r w:rsidR="00F023F6">
        <w:rPr>
          <w:rFonts w:ascii="Times New Roman" w:eastAsia="Times New Roman" w:hAnsi="Times New Roman" w:cs="Times New Roman"/>
          <w:sz w:val="28"/>
          <w:szCs w:val="28"/>
        </w:rPr>
        <w:t>9</w:t>
      </w:r>
      <w:r w:rsidR="001E7CB2">
        <w:rPr>
          <w:rFonts w:ascii="Times New Roman" w:eastAsia="Times New Roman" w:hAnsi="Times New Roman" w:cs="Times New Roman"/>
          <w:sz w:val="28"/>
          <w:szCs w:val="28"/>
        </w:rPr>
        <w:t xml:space="preserve"> of 10</w:t>
      </w:r>
      <w:r w:rsidR="00540D0A">
        <w:rPr>
          <w:rFonts w:ascii="Times New Roman" w:eastAsia="Times New Roman" w:hAnsi="Times New Roman" w:cs="Times New Roman"/>
          <w:sz w:val="28"/>
          <w:szCs w:val="28"/>
        </w:rPr>
        <w:t xml:space="preserve"> indust</w:t>
      </w:r>
      <w:r w:rsidR="001E7CB2">
        <w:rPr>
          <w:rFonts w:ascii="Times New Roman" w:eastAsia="Times New Roman" w:hAnsi="Times New Roman" w:cs="Times New Roman"/>
          <w:sz w:val="28"/>
          <w:szCs w:val="28"/>
        </w:rPr>
        <w:t>ries</w:t>
      </w:r>
      <w:r w:rsidR="006C06F2" w:rsidRPr="002A315A">
        <w:rPr>
          <w:rFonts w:ascii="Times New Roman" w:eastAsia="Times New Roman" w:hAnsi="Times New Roman" w:cs="Times New Roman"/>
          <w:sz w:val="28"/>
          <w:szCs w:val="28"/>
        </w:rPr>
        <w:t>.</w:t>
      </w:r>
      <w:r w:rsidR="007D7788">
        <w:rPr>
          <w:rFonts w:ascii="Times New Roman" w:eastAsia="Times New Roman" w:hAnsi="Times New Roman" w:cs="Times New Roman"/>
          <w:sz w:val="28"/>
          <w:szCs w:val="28"/>
        </w:rPr>
        <w:t xml:space="preserve">  </w:t>
      </w:r>
      <w:r w:rsidR="001E7CB2">
        <w:rPr>
          <w:rFonts w:ascii="Times New Roman" w:eastAsia="Times New Roman" w:hAnsi="Times New Roman" w:cs="Times New Roman"/>
          <w:sz w:val="28"/>
          <w:szCs w:val="28"/>
        </w:rPr>
        <w:t xml:space="preserve">Strong net increases were had in </w:t>
      </w:r>
      <w:r w:rsidR="0094656F">
        <w:rPr>
          <w:rFonts w:ascii="Times New Roman" w:eastAsia="Times New Roman" w:hAnsi="Times New Roman" w:cs="Times New Roman"/>
          <w:sz w:val="28"/>
          <w:szCs w:val="28"/>
        </w:rPr>
        <w:t xml:space="preserve">Professional &amp; Business Services, </w:t>
      </w:r>
      <w:r w:rsidR="00F023F6">
        <w:rPr>
          <w:rFonts w:ascii="Times New Roman" w:eastAsia="Times New Roman" w:hAnsi="Times New Roman" w:cs="Times New Roman"/>
          <w:sz w:val="28"/>
          <w:szCs w:val="28"/>
        </w:rPr>
        <w:t>Leisure &amp; Hospitality, and Retail Trade</w:t>
      </w:r>
      <w:r w:rsidR="0094656F">
        <w:rPr>
          <w:rFonts w:ascii="Times New Roman" w:eastAsia="Times New Roman" w:hAnsi="Times New Roman" w:cs="Times New Roman"/>
          <w:sz w:val="28"/>
          <w:szCs w:val="28"/>
        </w:rPr>
        <w:t xml:space="preserve">.  </w:t>
      </w:r>
      <w:r w:rsidR="00F023F6">
        <w:rPr>
          <w:rFonts w:ascii="Times New Roman" w:eastAsia="Times New Roman" w:hAnsi="Times New Roman" w:cs="Times New Roman"/>
          <w:sz w:val="28"/>
          <w:szCs w:val="28"/>
        </w:rPr>
        <w:t xml:space="preserve">Education &amp; Health Services was the only net-negative industry, down 1,143. </w:t>
      </w:r>
      <w:r w:rsidR="001E7CB2">
        <w:rPr>
          <w:rFonts w:ascii="Times New Roman" w:eastAsia="Times New Roman" w:hAnsi="Times New Roman" w:cs="Times New Roman"/>
          <w:sz w:val="28"/>
          <w:szCs w:val="28"/>
        </w:rPr>
        <w:br/>
      </w:r>
    </w:p>
    <w:p w14:paraId="2929BFCF" w14:textId="194649E8" w:rsidR="003D0A6C" w:rsidRDefault="00B2445A" w:rsidP="00BE7741">
      <w:pPr>
        <w:spacing w:after="0" w:line="240" w:lineRule="auto"/>
        <w:jc w:val="center"/>
        <w:rPr>
          <w:noProof/>
        </w:rPr>
      </w:pPr>
      <w:r>
        <w:rPr>
          <w:noProof/>
        </w:rPr>
        <w:drawing>
          <wp:inline distT="0" distB="0" distL="0" distR="0" wp14:anchorId="43C2E0B2" wp14:editId="2632D605">
            <wp:extent cx="5255896" cy="2887346"/>
            <wp:effectExtent l="0" t="0" r="1905" b="8255"/>
            <wp:docPr id="7" name="Chart 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7D7788">
        <w:rPr>
          <w:noProof/>
        </w:rPr>
        <w:br/>
      </w:r>
      <w:r w:rsidR="005C7F95">
        <w:rPr>
          <w:noProof/>
        </w:rPr>
        <w:br/>
      </w:r>
      <w:r w:rsidR="005C7F95">
        <w:rPr>
          <w:noProof/>
        </w:rPr>
        <w:br/>
      </w:r>
    </w:p>
    <w:p w14:paraId="41B036A6" w14:textId="68490CAD" w:rsidR="003D0A6C" w:rsidRDefault="003D0A6C" w:rsidP="009A0DC4">
      <w:pPr>
        <w:spacing w:after="0" w:line="240" w:lineRule="auto"/>
        <w:rPr>
          <w:noProof/>
        </w:rPr>
      </w:pPr>
    </w:p>
    <w:p w14:paraId="202D5EF7" w14:textId="13869142" w:rsidR="002D0151" w:rsidRPr="007A7078" w:rsidRDefault="00540D0A" w:rsidP="009A0DC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Ad</w:t>
      </w:r>
      <w:r w:rsidR="0026284D" w:rsidRPr="007A7078">
        <w:rPr>
          <w:rFonts w:ascii="Times New Roman" w:eastAsia="Times New Roman" w:hAnsi="Times New Roman" w:cs="Times New Roman"/>
          <w:sz w:val="28"/>
          <w:szCs w:val="28"/>
        </w:rPr>
        <w:t xml:space="preserve">ditional Information on Business Employment Dynamics, including data for </w:t>
      </w:r>
      <w:r w:rsidR="00B35A80" w:rsidRPr="007A7078">
        <w:rPr>
          <w:rFonts w:ascii="Times New Roman" w:eastAsia="Times New Roman" w:hAnsi="Times New Roman" w:cs="Times New Roman"/>
          <w:sz w:val="28"/>
          <w:szCs w:val="28"/>
        </w:rPr>
        <w:t xml:space="preserve">the </w:t>
      </w:r>
      <w:r w:rsidR="0026284D" w:rsidRPr="007A7078">
        <w:rPr>
          <w:rFonts w:ascii="Times New Roman" w:eastAsia="Times New Roman" w:hAnsi="Times New Roman" w:cs="Times New Roman"/>
          <w:sz w:val="28"/>
          <w:szCs w:val="28"/>
        </w:rPr>
        <w:t xml:space="preserve">United States, 50 states, and US territories can be found at: </w:t>
      </w:r>
      <w:hyperlink r:id="rId13" w:history="1">
        <w:r w:rsidR="0026284D" w:rsidRPr="007A7078">
          <w:rPr>
            <w:rStyle w:val="Hyperlink"/>
            <w:rFonts w:ascii="Times New Roman" w:eastAsia="Times New Roman" w:hAnsi="Times New Roman" w:cs="Times New Roman"/>
            <w:sz w:val="28"/>
            <w:szCs w:val="28"/>
          </w:rPr>
          <w:t>http://www.bls.gov/bdm/</w:t>
        </w:r>
      </w:hyperlink>
      <w:r w:rsidR="0026284D" w:rsidRPr="007A7078">
        <w:rPr>
          <w:rFonts w:ascii="Times New Roman" w:eastAsia="Times New Roman" w:hAnsi="Times New Roman" w:cs="Times New Roman"/>
          <w:sz w:val="28"/>
          <w:szCs w:val="28"/>
        </w:rPr>
        <w:t>.</w:t>
      </w:r>
    </w:p>
    <w:p w14:paraId="07A0E959" w14:textId="77777777" w:rsidR="0026284D" w:rsidRPr="009A0DC4" w:rsidRDefault="0026284D" w:rsidP="009A0DC4">
      <w:pPr>
        <w:spacing w:after="0" w:line="240" w:lineRule="auto"/>
        <w:rPr>
          <w:rFonts w:ascii="Times New Roman" w:eastAsia="Times New Roman" w:hAnsi="Times New Roman" w:cs="Times New Roman"/>
          <w:sz w:val="30"/>
          <w:szCs w:val="30"/>
        </w:rPr>
      </w:pPr>
    </w:p>
    <w:p w14:paraId="4324B6FA" w14:textId="77777777" w:rsidR="002E1885" w:rsidRDefault="002E1885" w:rsidP="009A0DC4">
      <w:pPr>
        <w:spacing w:after="0" w:line="240" w:lineRule="auto"/>
        <w:rPr>
          <w:rFonts w:ascii="Times New Roman" w:eastAsia="Times New Roman" w:hAnsi="Times New Roman" w:cs="Times New Roman"/>
          <w:sz w:val="30"/>
          <w:szCs w:val="30"/>
        </w:rPr>
      </w:pPr>
    </w:p>
    <w:p w14:paraId="728C5EC6" w14:textId="77777777" w:rsidR="001E0003" w:rsidRDefault="001E0003" w:rsidP="00CD17BA">
      <w:pPr>
        <w:spacing w:after="0" w:line="240" w:lineRule="auto"/>
        <w:rPr>
          <w:rFonts w:ascii="Times New Roman" w:eastAsia="Times New Roman" w:hAnsi="Times New Roman" w:cs="Times New Roman"/>
          <w:b/>
          <w:sz w:val="30"/>
          <w:szCs w:val="30"/>
        </w:rPr>
      </w:pPr>
    </w:p>
    <w:p w14:paraId="0E1CB67D" w14:textId="77777777" w:rsidR="009D2827" w:rsidRDefault="009D2827" w:rsidP="00CD17BA">
      <w:pPr>
        <w:spacing w:after="0" w:line="240" w:lineRule="auto"/>
        <w:rPr>
          <w:rFonts w:ascii="Times New Roman" w:eastAsia="Times New Roman" w:hAnsi="Times New Roman" w:cs="Times New Roman"/>
          <w:b/>
          <w:sz w:val="30"/>
          <w:szCs w:val="30"/>
        </w:rPr>
      </w:pPr>
    </w:p>
    <w:p w14:paraId="7E9183E4" w14:textId="42A3DB66" w:rsidR="009D2827" w:rsidRDefault="009D2827" w:rsidP="00CD17BA">
      <w:pPr>
        <w:spacing w:after="0" w:line="240" w:lineRule="auto"/>
        <w:rPr>
          <w:rFonts w:ascii="Times New Roman" w:eastAsia="Times New Roman" w:hAnsi="Times New Roman" w:cs="Times New Roman"/>
          <w:b/>
          <w:sz w:val="30"/>
          <w:szCs w:val="30"/>
        </w:rPr>
      </w:pPr>
    </w:p>
    <w:p w14:paraId="2F7DC1A8" w14:textId="06202AD8" w:rsidR="009D2827" w:rsidRDefault="00B2445A" w:rsidP="00CD17BA">
      <w:pPr>
        <w:spacing w:after="0" w:line="240" w:lineRule="auto"/>
        <w:rPr>
          <w:rFonts w:ascii="Times New Roman" w:eastAsia="Times New Roman" w:hAnsi="Times New Roman" w:cs="Times New Roman"/>
          <w:b/>
          <w:sz w:val="30"/>
          <w:szCs w:val="30"/>
        </w:rPr>
      </w:pPr>
      <w:r w:rsidRPr="00B2445A">
        <w:rPr>
          <w:noProof/>
        </w:rPr>
        <w:drawing>
          <wp:inline distT="0" distB="0" distL="0" distR="0" wp14:anchorId="21D84D57" wp14:editId="66C747F3">
            <wp:extent cx="6847840" cy="78035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7840" cy="7803515"/>
                    </a:xfrm>
                    <a:prstGeom prst="rect">
                      <a:avLst/>
                    </a:prstGeom>
                    <a:noFill/>
                    <a:ln>
                      <a:noFill/>
                    </a:ln>
                  </pic:spPr>
                </pic:pic>
              </a:graphicData>
            </a:graphic>
          </wp:inline>
        </w:drawing>
      </w:r>
    </w:p>
    <w:p w14:paraId="067B1F61" w14:textId="7FFAF986" w:rsidR="009D2827" w:rsidRDefault="009D2827" w:rsidP="00CD17BA">
      <w:pPr>
        <w:spacing w:after="0" w:line="240" w:lineRule="auto"/>
        <w:rPr>
          <w:rFonts w:ascii="Times New Roman" w:eastAsia="Times New Roman" w:hAnsi="Times New Roman" w:cs="Times New Roman"/>
          <w:b/>
          <w:sz w:val="30"/>
          <w:szCs w:val="30"/>
        </w:rPr>
      </w:pPr>
    </w:p>
    <w:p w14:paraId="3C6F7B72" w14:textId="3F4FA171" w:rsidR="009D2827" w:rsidRDefault="00B2445A" w:rsidP="00CD17BA">
      <w:pPr>
        <w:spacing w:after="0" w:line="240" w:lineRule="auto"/>
        <w:rPr>
          <w:rFonts w:ascii="Times New Roman" w:eastAsia="Times New Roman" w:hAnsi="Times New Roman" w:cs="Times New Roman"/>
          <w:b/>
          <w:sz w:val="30"/>
          <w:szCs w:val="30"/>
        </w:rPr>
      </w:pPr>
      <w:r w:rsidRPr="00B2445A">
        <w:rPr>
          <w:noProof/>
        </w:rPr>
        <w:lastRenderedPageBreak/>
        <w:drawing>
          <wp:inline distT="0" distB="0" distL="0" distR="0" wp14:anchorId="333CCDF8" wp14:editId="03C53359">
            <wp:extent cx="6847840" cy="4896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7840" cy="4896485"/>
                    </a:xfrm>
                    <a:prstGeom prst="rect">
                      <a:avLst/>
                    </a:prstGeom>
                    <a:noFill/>
                    <a:ln>
                      <a:noFill/>
                    </a:ln>
                  </pic:spPr>
                </pic:pic>
              </a:graphicData>
            </a:graphic>
          </wp:inline>
        </w:drawing>
      </w:r>
    </w:p>
    <w:p w14:paraId="3D7FF7FE" w14:textId="21C00841" w:rsidR="00707D93" w:rsidRDefault="00B80AA6" w:rsidP="00CD17BA">
      <w:pPr>
        <w:spacing w:after="0" w:line="240" w:lineRule="auto"/>
        <w:rPr>
          <w:rFonts w:ascii="Times New Roman" w:eastAsia="Times New Roman" w:hAnsi="Times New Roman" w:cs="Times New Roman"/>
          <w:b/>
          <w:sz w:val="30"/>
          <w:szCs w:val="30"/>
        </w:rPr>
      </w:pPr>
      <w:r w:rsidRPr="00382A92">
        <w:rPr>
          <w:rFonts w:ascii="Times New Roman" w:eastAsia="Times New Roman" w:hAnsi="Times New Roman" w:cs="Times New Roman"/>
          <w:noProof/>
          <w:sz w:val="30"/>
          <w:szCs w:val="30"/>
        </w:rPr>
        <mc:AlternateContent>
          <mc:Choice Requires="wps">
            <w:drawing>
              <wp:anchor distT="0" distB="0" distL="114300" distR="114300" simplePos="0" relativeHeight="251661312" behindDoc="0" locked="0" layoutInCell="1" allowOverlap="1" wp14:anchorId="2F45CB4C" wp14:editId="41DABB2B">
                <wp:simplePos x="0" y="0"/>
                <wp:positionH relativeFrom="column">
                  <wp:posOffset>62935</wp:posOffset>
                </wp:positionH>
                <wp:positionV relativeFrom="paragraph">
                  <wp:posOffset>162159</wp:posOffset>
                </wp:positionV>
                <wp:extent cx="6786767" cy="2406611"/>
                <wp:effectExtent l="0" t="0" r="1460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767" cy="2406611"/>
                        </a:xfrm>
                        <a:prstGeom prst="rect">
                          <a:avLst/>
                        </a:prstGeom>
                        <a:solidFill>
                          <a:srgbClr val="FFFFFF"/>
                        </a:solidFill>
                        <a:ln w="9525">
                          <a:solidFill>
                            <a:srgbClr val="000000"/>
                          </a:solidFill>
                          <a:miter lim="800000"/>
                          <a:headEnd/>
                          <a:tailEnd/>
                        </a:ln>
                      </wps:spPr>
                      <wps:txbx>
                        <w:txbxContent>
                          <w:p w14:paraId="602008AD" w14:textId="77777777" w:rsidR="00382A92" w:rsidRPr="00B80AA6" w:rsidRDefault="00382A92" w:rsidP="00382A92">
                            <w:pPr>
                              <w:spacing w:after="0" w:line="240" w:lineRule="auto"/>
                              <w:rPr>
                                <w:rFonts w:ascii="Times New Roman" w:eastAsia="Times New Roman" w:hAnsi="Times New Roman" w:cs="Times New Roman"/>
                                <w:sz w:val="16"/>
                                <w:szCs w:val="16"/>
                              </w:rPr>
                            </w:pPr>
                            <w:r w:rsidRPr="00B80AA6">
                              <w:rPr>
                                <w:rFonts w:ascii="Times New Roman" w:eastAsia="Times New Roman" w:hAnsi="Times New Roman" w:cs="Times New Roman"/>
                                <w:sz w:val="16"/>
                                <w:szCs w:val="16"/>
                              </w:rPr>
                              <w:t xml:space="preserve">A Note </w:t>
                            </w:r>
                            <w:r w:rsidR="00AF3963" w:rsidRPr="00B80AA6">
                              <w:rPr>
                                <w:rFonts w:ascii="Times New Roman" w:eastAsia="Times New Roman" w:hAnsi="Times New Roman" w:cs="Times New Roman"/>
                                <w:sz w:val="16"/>
                                <w:szCs w:val="16"/>
                              </w:rPr>
                              <w:t>About</w:t>
                            </w:r>
                            <w:r w:rsidRPr="00B80AA6">
                              <w:rPr>
                                <w:rFonts w:ascii="Times New Roman" w:eastAsia="Times New Roman" w:hAnsi="Times New Roman" w:cs="Times New Roman"/>
                                <w:sz w:val="16"/>
                                <w:szCs w:val="16"/>
                              </w:rPr>
                              <w:t xml:space="preserve"> the Data: </w:t>
                            </w:r>
                          </w:p>
                          <w:p w14:paraId="47F9ABB0" w14:textId="77777777" w:rsidR="00382A92" w:rsidRPr="00B80AA6" w:rsidRDefault="00382A92" w:rsidP="00382A92">
                            <w:pPr>
                              <w:spacing w:after="0" w:line="240" w:lineRule="auto"/>
                              <w:rPr>
                                <w:rFonts w:ascii="Times New Roman" w:eastAsia="Times New Roman" w:hAnsi="Times New Roman" w:cs="Times New Roman"/>
                                <w:sz w:val="16"/>
                                <w:szCs w:val="16"/>
                              </w:rPr>
                            </w:pPr>
                            <w:r w:rsidRPr="00B80AA6">
                              <w:rPr>
                                <w:rFonts w:ascii="Times New Roman" w:eastAsia="Times New Roman" w:hAnsi="Times New Roman" w:cs="Times New Roman"/>
                                <w:sz w:val="16"/>
                                <w:szCs w:val="16"/>
                              </w:rPr>
                              <w:t>The Business Employment Dynamics (BED) data are generated from Connecticut’s unemployment insurance (UI) records, enhanced through procedures conducted in association with the Bureau of Labor Statistics, and cover approximately 93% of all wage and salary workers in the state. The BED program links these records across quarters, providing a longitudinal history of employment for each establishment. These longitudinal records allow the identification of employment changes at expanding, opening, contracting, or closing establishments. Aggregating these changes, the BED data identify the gross job gains and losses, also known as job flows, in the state. These flows provide an understanding of the labor market dynamics that unfold over time. The job flows data scratches below the surface to expose the undercurrents that result in the net employment outcomes reported in other statistical series</w:t>
                            </w:r>
                          </w:p>
                          <w:p w14:paraId="503C6CC8" w14:textId="77777777" w:rsidR="00382A92" w:rsidRPr="00B80AA6" w:rsidRDefault="00382A92" w:rsidP="00382A92">
                            <w:pPr>
                              <w:spacing w:after="0" w:line="240" w:lineRule="auto"/>
                              <w:rPr>
                                <w:rFonts w:ascii="Times New Roman" w:eastAsia="Times New Roman" w:hAnsi="Times New Roman" w:cs="Times New Roman"/>
                                <w:sz w:val="16"/>
                                <w:szCs w:val="16"/>
                              </w:rPr>
                            </w:pPr>
                          </w:p>
                          <w:p w14:paraId="3926196F" w14:textId="77777777" w:rsidR="00382A92" w:rsidRPr="00B80AA6" w:rsidRDefault="00382A92" w:rsidP="00382A92">
                            <w:pPr>
                              <w:spacing w:after="0" w:line="240" w:lineRule="auto"/>
                              <w:rPr>
                                <w:rFonts w:ascii="Times New Roman" w:eastAsia="Times New Roman" w:hAnsi="Times New Roman" w:cs="Times New Roman"/>
                                <w:sz w:val="16"/>
                                <w:szCs w:val="16"/>
                              </w:rPr>
                            </w:pPr>
                            <w:r w:rsidRPr="00B80AA6">
                              <w:rPr>
                                <w:rFonts w:ascii="Times New Roman" w:eastAsia="Times New Roman" w:hAnsi="Times New Roman" w:cs="Times New Roman"/>
                                <w:sz w:val="16"/>
                                <w:szCs w:val="16"/>
                              </w:rPr>
                              <w:t xml:space="preserve">The net change in employment from the Business Employment Dynamics data series will not match the net change in nonfarm employment produced from the monthly survey and reported in the Labor Situation. The monthly estimates are based on surveys from a sample of establishments, while the BED data are based on a quarterly census of administrative records. In addition, the monthly series has a different coverage, excluding the agriculture sector but including government, private households, and establishments not covered by the unemployment insurance program. Thus, the net over-the-quarter changes derived from the BED data may be different from the net employment change estimated from the monthly nonfarm employment series. The intended use of the BED statistics is to show the dynamic labor market flows that underlie the net changes in aggregate employment levels; data users who want to track net changes in aggregate employment levels over time should refer to monthly nonfarm data. </w:t>
                            </w:r>
                          </w:p>
                          <w:p w14:paraId="05AA9CEE" w14:textId="77777777" w:rsidR="00382A92" w:rsidRPr="00B80AA6" w:rsidRDefault="00382A92" w:rsidP="00382A92">
                            <w:pPr>
                              <w:spacing w:after="0" w:line="240" w:lineRule="auto"/>
                              <w:rPr>
                                <w:rFonts w:ascii="Times New Roman" w:eastAsia="Times New Roman" w:hAnsi="Times New Roman" w:cs="Times New Roman"/>
                                <w:sz w:val="16"/>
                                <w:szCs w:val="16"/>
                              </w:rPr>
                            </w:pPr>
                          </w:p>
                          <w:p w14:paraId="7D53159F" w14:textId="77777777" w:rsidR="00382A92" w:rsidRPr="00B80AA6" w:rsidRDefault="00382A92" w:rsidP="00382A92">
                            <w:pPr>
                              <w:spacing w:after="0" w:line="240" w:lineRule="auto"/>
                              <w:rPr>
                                <w:rFonts w:ascii="Times New Roman" w:eastAsia="Times New Roman" w:hAnsi="Times New Roman" w:cs="Times New Roman"/>
                                <w:sz w:val="16"/>
                                <w:szCs w:val="16"/>
                              </w:rPr>
                            </w:pPr>
                            <w:r w:rsidRPr="00B80AA6">
                              <w:rPr>
                                <w:rFonts w:ascii="Times New Roman" w:eastAsia="Times New Roman" w:hAnsi="Times New Roman" w:cs="Times New Roman"/>
                                <w:sz w:val="16"/>
                                <w:szCs w:val="16"/>
                              </w:rPr>
                              <w:t xml:space="preserve">With the release of first quarter data each year, seasonally adjusted data for prior periods are revised and will therefore be different than figures shown in earlier releases. Please see </w:t>
                            </w:r>
                            <w:hyperlink r:id="rId16" w:history="1">
                              <w:r w:rsidRPr="00B80AA6">
                                <w:rPr>
                                  <w:rStyle w:val="Hyperlink"/>
                                  <w:rFonts w:ascii="Times New Roman" w:eastAsia="Times New Roman" w:hAnsi="Times New Roman" w:cs="Times New Roman"/>
                                  <w:sz w:val="16"/>
                                  <w:szCs w:val="16"/>
                                </w:rPr>
                                <w:t>http://www.bls.gov/bdm/</w:t>
                              </w:r>
                            </w:hyperlink>
                            <w:r w:rsidRPr="00B80AA6">
                              <w:rPr>
                                <w:rFonts w:ascii="Times New Roman" w:eastAsia="Times New Roman" w:hAnsi="Times New Roman" w:cs="Times New Roman"/>
                                <w:sz w:val="16"/>
                                <w:szCs w:val="16"/>
                              </w:rPr>
                              <w:t xml:space="preserve"> </w:t>
                            </w:r>
                            <w:r w:rsidR="00AF3963" w:rsidRPr="00B80AA6">
                              <w:rPr>
                                <w:rFonts w:ascii="Times New Roman" w:eastAsia="Times New Roman" w:hAnsi="Times New Roman" w:cs="Times New Roman"/>
                                <w:sz w:val="16"/>
                                <w:szCs w:val="16"/>
                              </w:rPr>
                              <w:t>for more</w:t>
                            </w:r>
                          </w:p>
                          <w:p w14:paraId="777179AE" w14:textId="77777777" w:rsidR="00382A92" w:rsidRPr="00B80AA6" w:rsidRDefault="00382A92" w:rsidP="00382A92">
                            <w:pPr>
                              <w:spacing w:after="0" w:line="240" w:lineRule="auto"/>
                              <w:rPr>
                                <w:rFonts w:ascii="Times New Roman" w:eastAsia="Times New Roman" w:hAnsi="Times New Roman" w:cs="Times New Roman"/>
                                <w:sz w:val="16"/>
                                <w:szCs w:val="16"/>
                              </w:rPr>
                            </w:pPr>
                            <w:r w:rsidRPr="00B80AA6">
                              <w:rPr>
                                <w:rFonts w:ascii="Times New Roman" w:eastAsia="Times New Roman" w:hAnsi="Times New Roman" w:cs="Times New Roman"/>
                                <w:sz w:val="16"/>
                                <w:szCs w:val="16"/>
                              </w:rPr>
                              <w:t xml:space="preserve">detailed information. </w:t>
                            </w:r>
                          </w:p>
                          <w:p w14:paraId="57561167" w14:textId="77777777" w:rsidR="00382A92" w:rsidRPr="00B80AA6" w:rsidRDefault="00382A9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5CB4C" id="_x0000_s1027" type="#_x0000_t202" style="position:absolute;margin-left:4.95pt;margin-top:12.75pt;width:534.4pt;height:1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">
                <v:textbox>
                  <w:txbxContent>
                    <w:p w14:paraId="602008AD" w14:textId="77777777" w:rsidR="00382A92" w:rsidRPr="00B80AA6" w:rsidRDefault="00382A92" w:rsidP="00382A92">
                      <w:pPr>
                        <w:spacing w:after="0" w:line="240" w:lineRule="auto"/>
                        <w:rPr>
                          <w:rFonts w:ascii="Times New Roman" w:eastAsia="Times New Roman" w:hAnsi="Times New Roman" w:cs="Times New Roman"/>
                          <w:sz w:val="16"/>
                          <w:szCs w:val="16"/>
                        </w:rPr>
                      </w:pPr>
                      <w:r w:rsidRPr="00B80AA6">
                        <w:rPr>
                          <w:rFonts w:ascii="Times New Roman" w:eastAsia="Times New Roman" w:hAnsi="Times New Roman" w:cs="Times New Roman"/>
                          <w:sz w:val="16"/>
                          <w:szCs w:val="16"/>
                        </w:rPr>
                        <w:t xml:space="preserve">A Note </w:t>
                      </w:r>
                      <w:r w:rsidR="00AF3963" w:rsidRPr="00B80AA6">
                        <w:rPr>
                          <w:rFonts w:ascii="Times New Roman" w:eastAsia="Times New Roman" w:hAnsi="Times New Roman" w:cs="Times New Roman"/>
                          <w:sz w:val="16"/>
                          <w:szCs w:val="16"/>
                        </w:rPr>
                        <w:t>About</w:t>
                      </w:r>
                      <w:r w:rsidRPr="00B80AA6">
                        <w:rPr>
                          <w:rFonts w:ascii="Times New Roman" w:eastAsia="Times New Roman" w:hAnsi="Times New Roman" w:cs="Times New Roman"/>
                          <w:sz w:val="16"/>
                          <w:szCs w:val="16"/>
                        </w:rPr>
                        <w:t xml:space="preserve"> the Data: </w:t>
                      </w:r>
                    </w:p>
                    <w:p w14:paraId="47F9ABB0" w14:textId="77777777" w:rsidR="00382A92" w:rsidRPr="00B80AA6" w:rsidRDefault="00382A92" w:rsidP="00382A92">
                      <w:pPr>
                        <w:spacing w:after="0" w:line="240" w:lineRule="auto"/>
                        <w:rPr>
                          <w:rFonts w:ascii="Times New Roman" w:eastAsia="Times New Roman" w:hAnsi="Times New Roman" w:cs="Times New Roman"/>
                          <w:sz w:val="16"/>
                          <w:szCs w:val="16"/>
                        </w:rPr>
                      </w:pPr>
                      <w:r w:rsidRPr="00B80AA6">
                        <w:rPr>
                          <w:rFonts w:ascii="Times New Roman" w:eastAsia="Times New Roman" w:hAnsi="Times New Roman" w:cs="Times New Roman"/>
                          <w:sz w:val="16"/>
                          <w:szCs w:val="16"/>
                        </w:rPr>
                        <w:t>The Business Employment Dynamics (BED) data are generated from Connecticut’s unemployment insurance (UI) records, enhanced through procedures conducted in association with the Bureau of Labor Statistics, and cover approximately 93% of all wage and salary workers in the state. The BED program links these records across quarters, providing a longitudinal history of employment for each establishment. These longitudinal records allow the identification of employment changes at expanding, opening, contracting, or closing establishments. Aggregating these changes, the BED data identify the gross job gains and losses, also known as job flows, in the state. These flows provide an understanding of the labor market dynamics that unfold over time. The job flows data scratches below the surface to expose the undercurrents that result in the net employment outcomes reported in other statistical series</w:t>
                      </w:r>
                    </w:p>
                    <w:p w14:paraId="503C6CC8" w14:textId="77777777" w:rsidR="00382A92" w:rsidRPr="00B80AA6" w:rsidRDefault="00382A92" w:rsidP="00382A92">
                      <w:pPr>
                        <w:spacing w:after="0" w:line="240" w:lineRule="auto"/>
                        <w:rPr>
                          <w:rFonts w:ascii="Times New Roman" w:eastAsia="Times New Roman" w:hAnsi="Times New Roman" w:cs="Times New Roman"/>
                          <w:sz w:val="16"/>
                          <w:szCs w:val="16"/>
                        </w:rPr>
                      </w:pPr>
                    </w:p>
                    <w:p w14:paraId="3926196F" w14:textId="77777777" w:rsidR="00382A92" w:rsidRPr="00B80AA6" w:rsidRDefault="00382A92" w:rsidP="00382A92">
                      <w:pPr>
                        <w:spacing w:after="0" w:line="240" w:lineRule="auto"/>
                        <w:rPr>
                          <w:rFonts w:ascii="Times New Roman" w:eastAsia="Times New Roman" w:hAnsi="Times New Roman" w:cs="Times New Roman"/>
                          <w:sz w:val="16"/>
                          <w:szCs w:val="16"/>
                        </w:rPr>
                      </w:pPr>
                      <w:r w:rsidRPr="00B80AA6">
                        <w:rPr>
                          <w:rFonts w:ascii="Times New Roman" w:eastAsia="Times New Roman" w:hAnsi="Times New Roman" w:cs="Times New Roman"/>
                          <w:sz w:val="16"/>
                          <w:szCs w:val="16"/>
                        </w:rPr>
                        <w:t xml:space="preserve">The net change in employment from the Business Employment Dynamics data series will not match the net change in nonfarm employment produced from the monthly survey and reported in the Labor Situation. The monthly estimates are based on surveys from a sample of establishments, while the BED data are based on a quarterly census of administrative records. In addition, the monthly series has a different coverage, excluding the agriculture sector but including government, private households, and establishments not covered by the unemployment insurance program. Thus, the net over-the-quarter changes derived from the BED data may be different from the net employment change estimated from the monthly nonfarm employment series. The intended use of the BED statistics is to show the dynamic labor market flows that underlie the net changes in aggregate employment levels; data users who want to track net changes in aggregate employment levels over time should refer to monthly nonfarm data. </w:t>
                      </w:r>
                    </w:p>
                    <w:p w14:paraId="05AA9CEE" w14:textId="77777777" w:rsidR="00382A92" w:rsidRPr="00B80AA6" w:rsidRDefault="00382A92" w:rsidP="00382A92">
                      <w:pPr>
                        <w:spacing w:after="0" w:line="240" w:lineRule="auto"/>
                        <w:rPr>
                          <w:rFonts w:ascii="Times New Roman" w:eastAsia="Times New Roman" w:hAnsi="Times New Roman" w:cs="Times New Roman"/>
                          <w:sz w:val="16"/>
                          <w:szCs w:val="16"/>
                        </w:rPr>
                      </w:pPr>
                    </w:p>
                    <w:p w14:paraId="7D53159F" w14:textId="77777777" w:rsidR="00382A92" w:rsidRPr="00B80AA6" w:rsidRDefault="00382A92" w:rsidP="00382A92">
                      <w:pPr>
                        <w:spacing w:after="0" w:line="240" w:lineRule="auto"/>
                        <w:rPr>
                          <w:rFonts w:ascii="Times New Roman" w:eastAsia="Times New Roman" w:hAnsi="Times New Roman" w:cs="Times New Roman"/>
                          <w:sz w:val="16"/>
                          <w:szCs w:val="16"/>
                        </w:rPr>
                      </w:pPr>
                      <w:r w:rsidRPr="00B80AA6">
                        <w:rPr>
                          <w:rFonts w:ascii="Times New Roman" w:eastAsia="Times New Roman" w:hAnsi="Times New Roman" w:cs="Times New Roman"/>
                          <w:sz w:val="16"/>
                          <w:szCs w:val="16"/>
                        </w:rPr>
                        <w:t xml:space="preserve">With the release of first quarter data each year, seasonally adjusted data for prior periods are revised and will therefore be different than figures shown in earlier releases. Please see </w:t>
                      </w:r>
                      <w:hyperlink r:id="rId17" w:history="1">
                        <w:r w:rsidRPr="00B80AA6">
                          <w:rPr>
                            <w:rStyle w:val="Hyperlink"/>
                            <w:rFonts w:ascii="Times New Roman" w:eastAsia="Times New Roman" w:hAnsi="Times New Roman" w:cs="Times New Roman"/>
                            <w:sz w:val="16"/>
                            <w:szCs w:val="16"/>
                          </w:rPr>
                          <w:t>http://www.bls.gov/bdm/</w:t>
                        </w:r>
                      </w:hyperlink>
                      <w:r w:rsidRPr="00B80AA6">
                        <w:rPr>
                          <w:rFonts w:ascii="Times New Roman" w:eastAsia="Times New Roman" w:hAnsi="Times New Roman" w:cs="Times New Roman"/>
                          <w:sz w:val="16"/>
                          <w:szCs w:val="16"/>
                        </w:rPr>
                        <w:t xml:space="preserve"> </w:t>
                      </w:r>
                      <w:r w:rsidR="00AF3963" w:rsidRPr="00B80AA6">
                        <w:rPr>
                          <w:rFonts w:ascii="Times New Roman" w:eastAsia="Times New Roman" w:hAnsi="Times New Roman" w:cs="Times New Roman"/>
                          <w:sz w:val="16"/>
                          <w:szCs w:val="16"/>
                        </w:rPr>
                        <w:t>for more</w:t>
                      </w:r>
                    </w:p>
                    <w:p w14:paraId="777179AE" w14:textId="77777777" w:rsidR="00382A92" w:rsidRPr="00B80AA6" w:rsidRDefault="00382A92" w:rsidP="00382A92">
                      <w:pPr>
                        <w:spacing w:after="0" w:line="240" w:lineRule="auto"/>
                        <w:rPr>
                          <w:rFonts w:ascii="Times New Roman" w:eastAsia="Times New Roman" w:hAnsi="Times New Roman" w:cs="Times New Roman"/>
                          <w:sz w:val="16"/>
                          <w:szCs w:val="16"/>
                        </w:rPr>
                      </w:pPr>
                      <w:r w:rsidRPr="00B80AA6">
                        <w:rPr>
                          <w:rFonts w:ascii="Times New Roman" w:eastAsia="Times New Roman" w:hAnsi="Times New Roman" w:cs="Times New Roman"/>
                          <w:sz w:val="16"/>
                          <w:szCs w:val="16"/>
                        </w:rPr>
                        <w:t xml:space="preserve">detailed information. </w:t>
                      </w:r>
                    </w:p>
                    <w:p w14:paraId="57561167" w14:textId="77777777" w:rsidR="00382A92" w:rsidRPr="00B80AA6" w:rsidRDefault="00382A92">
                      <w:pPr>
                        <w:rPr>
                          <w:sz w:val="16"/>
                          <w:szCs w:val="16"/>
                        </w:rPr>
                      </w:pPr>
                    </w:p>
                  </w:txbxContent>
                </v:textbox>
              </v:shape>
            </w:pict>
          </mc:Fallback>
        </mc:AlternateContent>
      </w:r>
    </w:p>
    <w:p w14:paraId="715994C7" w14:textId="54F69B7A" w:rsidR="00707D93" w:rsidRDefault="00707D93" w:rsidP="00CD17BA">
      <w:pPr>
        <w:spacing w:after="0" w:line="240" w:lineRule="auto"/>
        <w:rPr>
          <w:rFonts w:ascii="Times New Roman" w:eastAsia="Times New Roman" w:hAnsi="Times New Roman" w:cs="Times New Roman"/>
          <w:b/>
          <w:sz w:val="30"/>
          <w:szCs w:val="30"/>
        </w:rPr>
      </w:pPr>
    </w:p>
    <w:p w14:paraId="14AD7767" w14:textId="4D0D6412" w:rsidR="00707D93" w:rsidRDefault="00707D93" w:rsidP="00CD17BA">
      <w:pPr>
        <w:spacing w:after="0" w:line="240" w:lineRule="auto"/>
        <w:rPr>
          <w:rFonts w:ascii="Times New Roman" w:eastAsia="Times New Roman" w:hAnsi="Times New Roman" w:cs="Times New Roman"/>
          <w:b/>
          <w:sz w:val="30"/>
          <w:szCs w:val="30"/>
        </w:rPr>
      </w:pPr>
    </w:p>
    <w:p w14:paraId="5DCA6D7A" w14:textId="77777777" w:rsidR="00E765D4" w:rsidRDefault="00E765D4" w:rsidP="00CD17BA">
      <w:pPr>
        <w:spacing w:after="0" w:line="240" w:lineRule="auto"/>
        <w:rPr>
          <w:rFonts w:ascii="Times New Roman" w:eastAsia="Times New Roman" w:hAnsi="Times New Roman" w:cs="Times New Roman"/>
          <w:b/>
          <w:sz w:val="30"/>
          <w:szCs w:val="30"/>
        </w:rPr>
      </w:pPr>
    </w:p>
    <w:p w14:paraId="39D6D0F7" w14:textId="40B95A0A" w:rsidR="00E765D4" w:rsidRDefault="00E765D4" w:rsidP="00CD17BA">
      <w:pPr>
        <w:spacing w:after="0" w:line="240" w:lineRule="auto"/>
        <w:rPr>
          <w:rFonts w:ascii="Times New Roman" w:eastAsia="Times New Roman" w:hAnsi="Times New Roman" w:cs="Times New Roman"/>
          <w:b/>
          <w:sz w:val="30"/>
          <w:szCs w:val="30"/>
        </w:rPr>
      </w:pPr>
    </w:p>
    <w:p w14:paraId="011B5FF0" w14:textId="77777777" w:rsidR="00E765D4" w:rsidRDefault="00E765D4" w:rsidP="00CD17BA">
      <w:pPr>
        <w:spacing w:after="0" w:line="240" w:lineRule="auto"/>
        <w:rPr>
          <w:rFonts w:ascii="Times New Roman" w:eastAsia="Times New Roman" w:hAnsi="Times New Roman" w:cs="Times New Roman"/>
          <w:b/>
          <w:sz w:val="30"/>
          <w:szCs w:val="30"/>
        </w:rPr>
      </w:pPr>
    </w:p>
    <w:p w14:paraId="123C2340" w14:textId="77777777" w:rsidR="00E765D4" w:rsidRDefault="00E765D4" w:rsidP="00CD17BA">
      <w:pPr>
        <w:spacing w:after="0" w:line="240" w:lineRule="auto"/>
        <w:rPr>
          <w:rFonts w:ascii="Times New Roman" w:eastAsia="Times New Roman" w:hAnsi="Times New Roman" w:cs="Times New Roman"/>
          <w:b/>
          <w:sz w:val="30"/>
          <w:szCs w:val="30"/>
        </w:rPr>
      </w:pPr>
    </w:p>
    <w:p w14:paraId="28211669" w14:textId="77777777" w:rsidR="00E765D4" w:rsidRDefault="00E765D4" w:rsidP="00CD17BA">
      <w:pPr>
        <w:spacing w:after="0" w:line="240" w:lineRule="auto"/>
        <w:rPr>
          <w:rFonts w:ascii="Times New Roman" w:eastAsia="Times New Roman" w:hAnsi="Times New Roman" w:cs="Times New Roman"/>
          <w:b/>
          <w:sz w:val="30"/>
          <w:szCs w:val="30"/>
        </w:rPr>
      </w:pPr>
    </w:p>
    <w:p w14:paraId="1865760D" w14:textId="77777777" w:rsidR="00E765D4" w:rsidRDefault="00E765D4" w:rsidP="00CD17BA">
      <w:pPr>
        <w:spacing w:after="0" w:line="240" w:lineRule="auto"/>
        <w:rPr>
          <w:rFonts w:ascii="Times New Roman" w:eastAsia="Times New Roman" w:hAnsi="Times New Roman" w:cs="Times New Roman"/>
          <w:b/>
          <w:sz w:val="30"/>
          <w:szCs w:val="30"/>
        </w:rPr>
      </w:pPr>
    </w:p>
    <w:p w14:paraId="076E9FE3" w14:textId="77777777" w:rsidR="00E765D4" w:rsidRDefault="00E765D4" w:rsidP="00CD17BA">
      <w:pPr>
        <w:spacing w:after="0" w:line="240" w:lineRule="auto"/>
        <w:rPr>
          <w:rFonts w:ascii="Times New Roman" w:eastAsia="Times New Roman" w:hAnsi="Times New Roman" w:cs="Times New Roman"/>
          <w:b/>
          <w:sz w:val="30"/>
          <w:szCs w:val="30"/>
        </w:rPr>
      </w:pPr>
    </w:p>
    <w:p w14:paraId="39F88A6A" w14:textId="77777777" w:rsidR="00E765D4" w:rsidRDefault="00E765D4" w:rsidP="00CD17BA">
      <w:pPr>
        <w:spacing w:after="0" w:line="240" w:lineRule="auto"/>
        <w:rPr>
          <w:rFonts w:ascii="Times New Roman" w:eastAsia="Times New Roman" w:hAnsi="Times New Roman" w:cs="Times New Roman"/>
          <w:b/>
          <w:sz w:val="30"/>
          <w:szCs w:val="30"/>
        </w:rPr>
      </w:pPr>
    </w:p>
    <w:p w14:paraId="0EE2D685" w14:textId="77777777" w:rsidR="00E765D4" w:rsidRDefault="00E765D4" w:rsidP="00CD17BA">
      <w:pPr>
        <w:spacing w:after="0" w:line="240" w:lineRule="auto"/>
        <w:rPr>
          <w:rFonts w:ascii="Times New Roman" w:eastAsia="Times New Roman" w:hAnsi="Times New Roman" w:cs="Times New Roman"/>
          <w:b/>
          <w:sz w:val="30"/>
          <w:szCs w:val="30"/>
        </w:rPr>
      </w:pPr>
    </w:p>
    <w:p w14:paraId="4B1DA032" w14:textId="77777777" w:rsidR="001E0003" w:rsidRDefault="001E0003" w:rsidP="00CD17BA">
      <w:pPr>
        <w:spacing w:after="0" w:line="240" w:lineRule="auto"/>
        <w:rPr>
          <w:rFonts w:ascii="Times New Roman" w:eastAsia="Times New Roman" w:hAnsi="Times New Roman" w:cs="Times New Roman"/>
          <w:b/>
          <w:sz w:val="30"/>
          <w:szCs w:val="30"/>
        </w:rPr>
      </w:pPr>
    </w:p>
    <w:p w14:paraId="4A977528" w14:textId="77777777" w:rsidR="001E0003" w:rsidRPr="001E0003" w:rsidRDefault="001E0003" w:rsidP="001E0003">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This publication was prepared by Matthew Krzyzek</w:t>
      </w:r>
      <w:r w:rsidRPr="001E0003">
        <w:rPr>
          <w:rFonts w:ascii="Times New Roman" w:eastAsia="Times New Roman" w:hAnsi="Times New Roman" w:cs="Times New Roman"/>
          <w:sz w:val="23"/>
          <w:szCs w:val="23"/>
        </w:rPr>
        <w:t>, Economist at the Connectic</w:t>
      </w:r>
      <w:r>
        <w:rPr>
          <w:rFonts w:ascii="Times New Roman" w:eastAsia="Times New Roman" w:hAnsi="Times New Roman" w:cs="Times New Roman"/>
          <w:sz w:val="23"/>
          <w:szCs w:val="23"/>
        </w:rPr>
        <w:t>ut Department of Labor</w:t>
      </w:r>
      <w:r w:rsidR="00AF3963">
        <w:rPr>
          <w:rFonts w:ascii="Times New Roman" w:eastAsia="Times New Roman" w:hAnsi="Times New Roman" w:cs="Times New Roman"/>
          <w:sz w:val="23"/>
          <w:szCs w:val="23"/>
        </w:rPr>
        <w:t>,</w:t>
      </w:r>
      <w:r>
        <w:rPr>
          <w:rFonts w:ascii="Times New Roman" w:eastAsia="Times New Roman" w:hAnsi="Times New Roman" w:cs="Times New Roman"/>
          <w:sz w:val="23"/>
          <w:szCs w:val="23"/>
        </w:rPr>
        <w:t xml:space="preserve"> Office </w:t>
      </w:r>
      <w:r w:rsidRPr="001E0003">
        <w:rPr>
          <w:rFonts w:ascii="Times New Roman" w:eastAsia="Times New Roman" w:hAnsi="Times New Roman" w:cs="Times New Roman"/>
          <w:sz w:val="23"/>
          <w:szCs w:val="23"/>
        </w:rPr>
        <w:t>of Research. If you have any questions regarding t</w:t>
      </w:r>
      <w:r>
        <w:rPr>
          <w:rFonts w:ascii="Times New Roman" w:eastAsia="Times New Roman" w:hAnsi="Times New Roman" w:cs="Times New Roman"/>
          <w:sz w:val="23"/>
          <w:szCs w:val="23"/>
        </w:rPr>
        <w:t>his publication, please call (860) 263-6287</w:t>
      </w:r>
      <w:r w:rsidRPr="001E0003">
        <w:rPr>
          <w:rFonts w:ascii="Times New Roman" w:eastAsia="Times New Roman" w:hAnsi="Times New Roman" w:cs="Times New Roman"/>
          <w:sz w:val="23"/>
          <w:szCs w:val="23"/>
        </w:rPr>
        <w:t xml:space="preserve"> or</w:t>
      </w:r>
      <w:r>
        <w:rPr>
          <w:rFonts w:ascii="Times New Roman" w:eastAsia="Times New Roman" w:hAnsi="Times New Roman" w:cs="Times New Roman"/>
          <w:sz w:val="23"/>
          <w:szCs w:val="23"/>
        </w:rPr>
        <w:t xml:space="preserve"> Matthew.Krzyzek</w:t>
      </w:r>
      <w:r w:rsidRPr="001E0003">
        <w:rPr>
          <w:rFonts w:ascii="Times New Roman" w:eastAsia="Times New Roman" w:hAnsi="Times New Roman" w:cs="Times New Roman"/>
          <w:sz w:val="23"/>
          <w:szCs w:val="23"/>
        </w:rPr>
        <w:t xml:space="preserve">@ct.gov. </w:t>
      </w:r>
    </w:p>
    <w:p w14:paraId="2F7654F3" w14:textId="77777777" w:rsidR="001E0003" w:rsidRDefault="001E0003" w:rsidP="00CD17BA">
      <w:pPr>
        <w:spacing w:after="0" w:line="240" w:lineRule="auto"/>
        <w:rPr>
          <w:rFonts w:ascii="Times New Roman" w:eastAsia="Times New Roman" w:hAnsi="Times New Roman" w:cs="Times New Roman"/>
          <w:b/>
          <w:sz w:val="30"/>
          <w:szCs w:val="30"/>
        </w:rPr>
      </w:pPr>
    </w:p>
    <w:sectPr w:rsidR="001E0003" w:rsidSect="00D67182">
      <w:footerReference w:type="default" r:id="rId18"/>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EE6F1" w14:textId="77777777" w:rsidR="00E7390C" w:rsidRDefault="00E7390C" w:rsidP="00D01564">
      <w:pPr>
        <w:spacing w:after="0" w:line="240" w:lineRule="auto"/>
      </w:pPr>
      <w:r>
        <w:separator/>
      </w:r>
    </w:p>
  </w:endnote>
  <w:endnote w:type="continuationSeparator" w:id="0">
    <w:p w14:paraId="5CE5264C" w14:textId="77777777" w:rsidR="00E7390C" w:rsidRDefault="00E7390C"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764539"/>
      <w:docPartObj>
        <w:docPartGallery w:val="Page Numbers (Bottom of Page)"/>
        <w:docPartUnique/>
      </w:docPartObj>
    </w:sdtPr>
    <w:sdtEndPr>
      <w:rPr>
        <w:noProof/>
      </w:rPr>
    </w:sdtEndPr>
    <w:sdtContent>
      <w:p w14:paraId="390F4E72" w14:textId="77777777" w:rsidR="00D01564" w:rsidRDefault="00D01564">
        <w:pPr>
          <w:pStyle w:val="Footer"/>
          <w:jc w:val="center"/>
        </w:pPr>
        <w:r>
          <w:fldChar w:fldCharType="begin"/>
        </w:r>
        <w:r>
          <w:instrText xml:space="preserve"> PAGE   \* MERGEFORMAT </w:instrText>
        </w:r>
        <w:r>
          <w:fldChar w:fldCharType="separate"/>
        </w:r>
        <w:r w:rsidR="00F939EA">
          <w:rPr>
            <w:noProof/>
          </w:rPr>
          <w:t>1</w:t>
        </w:r>
        <w:r>
          <w:rPr>
            <w:noProof/>
          </w:rPr>
          <w:fldChar w:fldCharType="end"/>
        </w:r>
      </w:p>
    </w:sdtContent>
  </w:sdt>
  <w:p w14:paraId="1B4138BE" w14:textId="77777777" w:rsidR="00D01564" w:rsidRDefault="002A34FA">
    <w:pPr>
      <w:pStyle w:val="Footer"/>
    </w:pPr>
    <w:r>
      <w:t>Business Employment Dynamics</w:t>
    </w:r>
    <w:r>
      <w:tab/>
    </w:r>
    <w:r w:rsidR="0053266D">
      <w:t xml:space="preserve">                                             </w:t>
    </w:r>
    <w:r>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B317E" w14:textId="77777777" w:rsidR="00E7390C" w:rsidRDefault="00E7390C" w:rsidP="00D01564">
      <w:pPr>
        <w:spacing w:after="0" w:line="240" w:lineRule="auto"/>
      </w:pPr>
      <w:r>
        <w:separator/>
      </w:r>
    </w:p>
  </w:footnote>
  <w:footnote w:type="continuationSeparator" w:id="0">
    <w:p w14:paraId="19936FD7" w14:textId="77777777" w:rsidR="00E7390C" w:rsidRDefault="00E7390C" w:rsidP="00D015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10CD"/>
    <w:rsid w:val="000024BA"/>
    <w:rsid w:val="00007571"/>
    <w:rsid w:val="00013B9D"/>
    <w:rsid w:val="00020E4E"/>
    <w:rsid w:val="00026DE4"/>
    <w:rsid w:val="00033251"/>
    <w:rsid w:val="00044370"/>
    <w:rsid w:val="00054FE2"/>
    <w:rsid w:val="00056F74"/>
    <w:rsid w:val="00060BE1"/>
    <w:rsid w:val="00067C47"/>
    <w:rsid w:val="00082520"/>
    <w:rsid w:val="00082626"/>
    <w:rsid w:val="000832C7"/>
    <w:rsid w:val="00084F10"/>
    <w:rsid w:val="00097519"/>
    <w:rsid w:val="00097CF5"/>
    <w:rsid w:val="000A2F8A"/>
    <w:rsid w:val="000A6D3D"/>
    <w:rsid w:val="000B3419"/>
    <w:rsid w:val="000B39D4"/>
    <w:rsid w:val="000B3A03"/>
    <w:rsid w:val="000B3C0E"/>
    <w:rsid w:val="000B65EC"/>
    <w:rsid w:val="000C0272"/>
    <w:rsid w:val="000C2515"/>
    <w:rsid w:val="000C7E2D"/>
    <w:rsid w:val="000D4939"/>
    <w:rsid w:val="000D6D86"/>
    <w:rsid w:val="000E017D"/>
    <w:rsid w:val="000E01DC"/>
    <w:rsid w:val="000E34E0"/>
    <w:rsid w:val="000F026C"/>
    <w:rsid w:val="000F0357"/>
    <w:rsid w:val="000F45EE"/>
    <w:rsid w:val="000F681B"/>
    <w:rsid w:val="00100DE6"/>
    <w:rsid w:val="00112FFE"/>
    <w:rsid w:val="00117F64"/>
    <w:rsid w:val="00120BD2"/>
    <w:rsid w:val="00120C3C"/>
    <w:rsid w:val="00127440"/>
    <w:rsid w:val="001300D5"/>
    <w:rsid w:val="001329FE"/>
    <w:rsid w:val="00132BE3"/>
    <w:rsid w:val="00134DDD"/>
    <w:rsid w:val="00135EB6"/>
    <w:rsid w:val="00136614"/>
    <w:rsid w:val="001403B1"/>
    <w:rsid w:val="00142F84"/>
    <w:rsid w:val="00147FED"/>
    <w:rsid w:val="001528E7"/>
    <w:rsid w:val="0015361E"/>
    <w:rsid w:val="00156C31"/>
    <w:rsid w:val="001640C0"/>
    <w:rsid w:val="001652D1"/>
    <w:rsid w:val="00165398"/>
    <w:rsid w:val="001658B5"/>
    <w:rsid w:val="00177E30"/>
    <w:rsid w:val="00181EBE"/>
    <w:rsid w:val="00182341"/>
    <w:rsid w:val="00185D74"/>
    <w:rsid w:val="00186CA8"/>
    <w:rsid w:val="00191A4D"/>
    <w:rsid w:val="00194767"/>
    <w:rsid w:val="00196125"/>
    <w:rsid w:val="001A1EFF"/>
    <w:rsid w:val="001A38F9"/>
    <w:rsid w:val="001C16AF"/>
    <w:rsid w:val="001C47FE"/>
    <w:rsid w:val="001C51CA"/>
    <w:rsid w:val="001C78F8"/>
    <w:rsid w:val="001D0072"/>
    <w:rsid w:val="001E0003"/>
    <w:rsid w:val="001E08C5"/>
    <w:rsid w:val="001E2480"/>
    <w:rsid w:val="001E7CB2"/>
    <w:rsid w:val="001F0AF4"/>
    <w:rsid w:val="001F74F6"/>
    <w:rsid w:val="001F7C84"/>
    <w:rsid w:val="00210AE0"/>
    <w:rsid w:val="0021153A"/>
    <w:rsid w:val="00214CA8"/>
    <w:rsid w:val="00230875"/>
    <w:rsid w:val="00232012"/>
    <w:rsid w:val="002409CC"/>
    <w:rsid w:val="00241968"/>
    <w:rsid w:val="0024568B"/>
    <w:rsid w:val="00247566"/>
    <w:rsid w:val="0025060F"/>
    <w:rsid w:val="00260A7E"/>
    <w:rsid w:val="00262561"/>
    <w:rsid w:val="0026284D"/>
    <w:rsid w:val="002673EC"/>
    <w:rsid w:val="0027263E"/>
    <w:rsid w:val="0027281B"/>
    <w:rsid w:val="0027658B"/>
    <w:rsid w:val="00280927"/>
    <w:rsid w:val="00286CCD"/>
    <w:rsid w:val="00291E8C"/>
    <w:rsid w:val="00293300"/>
    <w:rsid w:val="00293809"/>
    <w:rsid w:val="002A315A"/>
    <w:rsid w:val="002A34FA"/>
    <w:rsid w:val="002A554F"/>
    <w:rsid w:val="002A5A6C"/>
    <w:rsid w:val="002B1B1F"/>
    <w:rsid w:val="002B2521"/>
    <w:rsid w:val="002B2998"/>
    <w:rsid w:val="002B4939"/>
    <w:rsid w:val="002B5CB5"/>
    <w:rsid w:val="002C4E0E"/>
    <w:rsid w:val="002C5777"/>
    <w:rsid w:val="002C5A33"/>
    <w:rsid w:val="002D0151"/>
    <w:rsid w:val="002D15EF"/>
    <w:rsid w:val="002D2E66"/>
    <w:rsid w:val="002D2EDC"/>
    <w:rsid w:val="002D43D7"/>
    <w:rsid w:val="002D473B"/>
    <w:rsid w:val="002D73F8"/>
    <w:rsid w:val="002E1885"/>
    <w:rsid w:val="002E1AED"/>
    <w:rsid w:val="002E44F2"/>
    <w:rsid w:val="002E60B1"/>
    <w:rsid w:val="002F3968"/>
    <w:rsid w:val="002F55E7"/>
    <w:rsid w:val="002F5DF8"/>
    <w:rsid w:val="003010C5"/>
    <w:rsid w:val="00303CFD"/>
    <w:rsid w:val="003109A6"/>
    <w:rsid w:val="003111AC"/>
    <w:rsid w:val="00316093"/>
    <w:rsid w:val="003217F1"/>
    <w:rsid w:val="00324DDA"/>
    <w:rsid w:val="003253C7"/>
    <w:rsid w:val="00333397"/>
    <w:rsid w:val="00341912"/>
    <w:rsid w:val="003451E7"/>
    <w:rsid w:val="00350766"/>
    <w:rsid w:val="0035187A"/>
    <w:rsid w:val="0035272E"/>
    <w:rsid w:val="00360AA3"/>
    <w:rsid w:val="003621D9"/>
    <w:rsid w:val="00363A29"/>
    <w:rsid w:val="00363E6A"/>
    <w:rsid w:val="003647EF"/>
    <w:rsid w:val="0037161D"/>
    <w:rsid w:val="00371AED"/>
    <w:rsid w:val="0037525C"/>
    <w:rsid w:val="00376CD4"/>
    <w:rsid w:val="00382A92"/>
    <w:rsid w:val="00382E0C"/>
    <w:rsid w:val="00386E79"/>
    <w:rsid w:val="003922C6"/>
    <w:rsid w:val="00393C2B"/>
    <w:rsid w:val="00396A74"/>
    <w:rsid w:val="003A0925"/>
    <w:rsid w:val="003B059E"/>
    <w:rsid w:val="003B5944"/>
    <w:rsid w:val="003B5A4A"/>
    <w:rsid w:val="003B77B8"/>
    <w:rsid w:val="003C7730"/>
    <w:rsid w:val="003C77B1"/>
    <w:rsid w:val="003D0A6C"/>
    <w:rsid w:val="003D0D1E"/>
    <w:rsid w:val="003D2232"/>
    <w:rsid w:val="003E0438"/>
    <w:rsid w:val="003E2E01"/>
    <w:rsid w:val="003E3936"/>
    <w:rsid w:val="003F1203"/>
    <w:rsid w:val="0040001C"/>
    <w:rsid w:val="0040200D"/>
    <w:rsid w:val="0040322B"/>
    <w:rsid w:val="00403826"/>
    <w:rsid w:val="00407BF9"/>
    <w:rsid w:val="00413A22"/>
    <w:rsid w:val="00416A82"/>
    <w:rsid w:val="00422678"/>
    <w:rsid w:val="00433E67"/>
    <w:rsid w:val="00434063"/>
    <w:rsid w:val="0044614B"/>
    <w:rsid w:val="00446580"/>
    <w:rsid w:val="004475D3"/>
    <w:rsid w:val="00450B9B"/>
    <w:rsid w:val="00451DAC"/>
    <w:rsid w:val="00455DCD"/>
    <w:rsid w:val="0046513C"/>
    <w:rsid w:val="00465459"/>
    <w:rsid w:val="00471C8A"/>
    <w:rsid w:val="00476B91"/>
    <w:rsid w:val="0048443E"/>
    <w:rsid w:val="00491800"/>
    <w:rsid w:val="00492127"/>
    <w:rsid w:val="0049367C"/>
    <w:rsid w:val="004A2BC0"/>
    <w:rsid w:val="004A5157"/>
    <w:rsid w:val="004A5201"/>
    <w:rsid w:val="004B2C9F"/>
    <w:rsid w:val="004C4F31"/>
    <w:rsid w:val="004E7882"/>
    <w:rsid w:val="004F3949"/>
    <w:rsid w:val="00511168"/>
    <w:rsid w:val="00515CB9"/>
    <w:rsid w:val="00516C85"/>
    <w:rsid w:val="00520D02"/>
    <w:rsid w:val="00520E0D"/>
    <w:rsid w:val="00526D32"/>
    <w:rsid w:val="0053001F"/>
    <w:rsid w:val="00530AD8"/>
    <w:rsid w:val="00530B83"/>
    <w:rsid w:val="0053266D"/>
    <w:rsid w:val="00532CD4"/>
    <w:rsid w:val="00540D0A"/>
    <w:rsid w:val="00557093"/>
    <w:rsid w:val="005638C6"/>
    <w:rsid w:val="0056717B"/>
    <w:rsid w:val="00571337"/>
    <w:rsid w:val="00573E6F"/>
    <w:rsid w:val="00577342"/>
    <w:rsid w:val="0058111B"/>
    <w:rsid w:val="00591DA8"/>
    <w:rsid w:val="005957A6"/>
    <w:rsid w:val="005958C0"/>
    <w:rsid w:val="005970D5"/>
    <w:rsid w:val="005A3C8B"/>
    <w:rsid w:val="005A60E0"/>
    <w:rsid w:val="005B3D64"/>
    <w:rsid w:val="005C7F95"/>
    <w:rsid w:val="005D058B"/>
    <w:rsid w:val="005D0B53"/>
    <w:rsid w:val="005E129D"/>
    <w:rsid w:val="005F4716"/>
    <w:rsid w:val="005F5F10"/>
    <w:rsid w:val="005F6772"/>
    <w:rsid w:val="00603716"/>
    <w:rsid w:val="00607A6E"/>
    <w:rsid w:val="006203C3"/>
    <w:rsid w:val="0062694C"/>
    <w:rsid w:val="00637834"/>
    <w:rsid w:val="006414CB"/>
    <w:rsid w:val="006420A4"/>
    <w:rsid w:val="00645502"/>
    <w:rsid w:val="0065207E"/>
    <w:rsid w:val="00653FC6"/>
    <w:rsid w:val="006627A6"/>
    <w:rsid w:val="00662815"/>
    <w:rsid w:val="006765A2"/>
    <w:rsid w:val="00681321"/>
    <w:rsid w:val="00682DC8"/>
    <w:rsid w:val="00684BAC"/>
    <w:rsid w:val="0069781C"/>
    <w:rsid w:val="006A2FFF"/>
    <w:rsid w:val="006A7741"/>
    <w:rsid w:val="006B0C07"/>
    <w:rsid w:val="006B2706"/>
    <w:rsid w:val="006B2E5F"/>
    <w:rsid w:val="006B7723"/>
    <w:rsid w:val="006B7D0D"/>
    <w:rsid w:val="006C06F2"/>
    <w:rsid w:val="006C17E0"/>
    <w:rsid w:val="006C4556"/>
    <w:rsid w:val="006D11D0"/>
    <w:rsid w:val="006D46BF"/>
    <w:rsid w:val="006D6D23"/>
    <w:rsid w:val="006E2670"/>
    <w:rsid w:val="006E274A"/>
    <w:rsid w:val="006F09A3"/>
    <w:rsid w:val="006F70B7"/>
    <w:rsid w:val="00701560"/>
    <w:rsid w:val="00707D93"/>
    <w:rsid w:val="00714C38"/>
    <w:rsid w:val="00714CDA"/>
    <w:rsid w:val="00724504"/>
    <w:rsid w:val="00724E27"/>
    <w:rsid w:val="007311D4"/>
    <w:rsid w:val="00735998"/>
    <w:rsid w:val="00736645"/>
    <w:rsid w:val="00745757"/>
    <w:rsid w:val="0075230D"/>
    <w:rsid w:val="007573DC"/>
    <w:rsid w:val="00757765"/>
    <w:rsid w:val="00757BBD"/>
    <w:rsid w:val="007612A6"/>
    <w:rsid w:val="00776C04"/>
    <w:rsid w:val="00783277"/>
    <w:rsid w:val="00783440"/>
    <w:rsid w:val="00784095"/>
    <w:rsid w:val="00785588"/>
    <w:rsid w:val="00786276"/>
    <w:rsid w:val="00793B60"/>
    <w:rsid w:val="007959F7"/>
    <w:rsid w:val="007A09CF"/>
    <w:rsid w:val="007A09FE"/>
    <w:rsid w:val="007A3266"/>
    <w:rsid w:val="007A3F5D"/>
    <w:rsid w:val="007A7078"/>
    <w:rsid w:val="007B4991"/>
    <w:rsid w:val="007B4B96"/>
    <w:rsid w:val="007B5DDF"/>
    <w:rsid w:val="007C077A"/>
    <w:rsid w:val="007C2F60"/>
    <w:rsid w:val="007C32D0"/>
    <w:rsid w:val="007D11B8"/>
    <w:rsid w:val="007D3F02"/>
    <w:rsid w:val="007D7712"/>
    <w:rsid w:val="007D7788"/>
    <w:rsid w:val="007E792A"/>
    <w:rsid w:val="007F462B"/>
    <w:rsid w:val="008053B4"/>
    <w:rsid w:val="00805CE5"/>
    <w:rsid w:val="00806F9D"/>
    <w:rsid w:val="00807C4E"/>
    <w:rsid w:val="008172C6"/>
    <w:rsid w:val="00820E4E"/>
    <w:rsid w:val="008335D6"/>
    <w:rsid w:val="008372AA"/>
    <w:rsid w:val="00840654"/>
    <w:rsid w:val="00842AE0"/>
    <w:rsid w:val="00842C33"/>
    <w:rsid w:val="00842F3B"/>
    <w:rsid w:val="00843E39"/>
    <w:rsid w:val="00845B02"/>
    <w:rsid w:val="0085230C"/>
    <w:rsid w:val="00852AD9"/>
    <w:rsid w:val="0085573B"/>
    <w:rsid w:val="00863226"/>
    <w:rsid w:val="008647BF"/>
    <w:rsid w:val="00864F8E"/>
    <w:rsid w:val="00865D00"/>
    <w:rsid w:val="00866721"/>
    <w:rsid w:val="00871F46"/>
    <w:rsid w:val="00873231"/>
    <w:rsid w:val="008733FC"/>
    <w:rsid w:val="008743BD"/>
    <w:rsid w:val="00877197"/>
    <w:rsid w:val="00886B4C"/>
    <w:rsid w:val="0089426F"/>
    <w:rsid w:val="00897269"/>
    <w:rsid w:val="008A4DB7"/>
    <w:rsid w:val="008A561C"/>
    <w:rsid w:val="008A71B4"/>
    <w:rsid w:val="008B0EEC"/>
    <w:rsid w:val="008B63D7"/>
    <w:rsid w:val="008C2606"/>
    <w:rsid w:val="008C4A2E"/>
    <w:rsid w:val="008C53A5"/>
    <w:rsid w:val="008D637E"/>
    <w:rsid w:val="008D6C43"/>
    <w:rsid w:val="008D6DA8"/>
    <w:rsid w:val="008E2EA0"/>
    <w:rsid w:val="008E3D98"/>
    <w:rsid w:val="008E58E1"/>
    <w:rsid w:val="008E5A2C"/>
    <w:rsid w:val="008E78F9"/>
    <w:rsid w:val="008F4389"/>
    <w:rsid w:val="008F4653"/>
    <w:rsid w:val="00901F4D"/>
    <w:rsid w:val="00910856"/>
    <w:rsid w:val="00912C78"/>
    <w:rsid w:val="00917176"/>
    <w:rsid w:val="00933A8F"/>
    <w:rsid w:val="00937526"/>
    <w:rsid w:val="009378A2"/>
    <w:rsid w:val="00942737"/>
    <w:rsid w:val="009435B8"/>
    <w:rsid w:val="0094656F"/>
    <w:rsid w:val="009512C8"/>
    <w:rsid w:val="00952640"/>
    <w:rsid w:val="009542A8"/>
    <w:rsid w:val="009542B5"/>
    <w:rsid w:val="0095489A"/>
    <w:rsid w:val="009601D6"/>
    <w:rsid w:val="00961C6B"/>
    <w:rsid w:val="00964E60"/>
    <w:rsid w:val="00970742"/>
    <w:rsid w:val="00970CE8"/>
    <w:rsid w:val="00972086"/>
    <w:rsid w:val="00981B46"/>
    <w:rsid w:val="00981F63"/>
    <w:rsid w:val="00983FDC"/>
    <w:rsid w:val="0098528D"/>
    <w:rsid w:val="00990A3A"/>
    <w:rsid w:val="00997D3D"/>
    <w:rsid w:val="009A0DC4"/>
    <w:rsid w:val="009B5C2E"/>
    <w:rsid w:val="009C0C27"/>
    <w:rsid w:val="009D2827"/>
    <w:rsid w:val="009D2CDC"/>
    <w:rsid w:val="009E1801"/>
    <w:rsid w:val="009E641D"/>
    <w:rsid w:val="009E79EC"/>
    <w:rsid w:val="00A0654D"/>
    <w:rsid w:val="00A07290"/>
    <w:rsid w:val="00A13B42"/>
    <w:rsid w:val="00A1688B"/>
    <w:rsid w:val="00A17100"/>
    <w:rsid w:val="00A33C8D"/>
    <w:rsid w:val="00A357A8"/>
    <w:rsid w:val="00A369AC"/>
    <w:rsid w:val="00A37487"/>
    <w:rsid w:val="00A40D40"/>
    <w:rsid w:val="00A43439"/>
    <w:rsid w:val="00A47202"/>
    <w:rsid w:val="00A50F25"/>
    <w:rsid w:val="00A6111A"/>
    <w:rsid w:val="00A6186F"/>
    <w:rsid w:val="00A62AF0"/>
    <w:rsid w:val="00A6353F"/>
    <w:rsid w:val="00A63F86"/>
    <w:rsid w:val="00A8097C"/>
    <w:rsid w:val="00A82C62"/>
    <w:rsid w:val="00A83476"/>
    <w:rsid w:val="00A842C4"/>
    <w:rsid w:val="00A855F6"/>
    <w:rsid w:val="00A94EA3"/>
    <w:rsid w:val="00A96094"/>
    <w:rsid w:val="00A969F9"/>
    <w:rsid w:val="00A9788C"/>
    <w:rsid w:val="00A97C6E"/>
    <w:rsid w:val="00A97CB6"/>
    <w:rsid w:val="00AA6E12"/>
    <w:rsid w:val="00AA6ED5"/>
    <w:rsid w:val="00AB2DCA"/>
    <w:rsid w:val="00AB4403"/>
    <w:rsid w:val="00AB4816"/>
    <w:rsid w:val="00AB5797"/>
    <w:rsid w:val="00AB7770"/>
    <w:rsid w:val="00AC456D"/>
    <w:rsid w:val="00AC5532"/>
    <w:rsid w:val="00AC73E2"/>
    <w:rsid w:val="00AD0A63"/>
    <w:rsid w:val="00AE4F08"/>
    <w:rsid w:val="00AE73B2"/>
    <w:rsid w:val="00AF2F79"/>
    <w:rsid w:val="00AF3963"/>
    <w:rsid w:val="00AF6670"/>
    <w:rsid w:val="00AF7560"/>
    <w:rsid w:val="00B03A07"/>
    <w:rsid w:val="00B13F20"/>
    <w:rsid w:val="00B2199E"/>
    <w:rsid w:val="00B23CD3"/>
    <w:rsid w:val="00B24047"/>
    <w:rsid w:val="00B2445A"/>
    <w:rsid w:val="00B24464"/>
    <w:rsid w:val="00B25E3F"/>
    <w:rsid w:val="00B319FC"/>
    <w:rsid w:val="00B33B16"/>
    <w:rsid w:val="00B35A80"/>
    <w:rsid w:val="00B37CAB"/>
    <w:rsid w:val="00B41E2A"/>
    <w:rsid w:val="00B46F5A"/>
    <w:rsid w:val="00B52EDD"/>
    <w:rsid w:val="00B5602F"/>
    <w:rsid w:val="00B571E0"/>
    <w:rsid w:val="00B6048B"/>
    <w:rsid w:val="00B606F1"/>
    <w:rsid w:val="00B7135C"/>
    <w:rsid w:val="00B757C2"/>
    <w:rsid w:val="00B80AA6"/>
    <w:rsid w:val="00B84D09"/>
    <w:rsid w:val="00B9206D"/>
    <w:rsid w:val="00BA19B3"/>
    <w:rsid w:val="00BA5D8C"/>
    <w:rsid w:val="00BB11D2"/>
    <w:rsid w:val="00BB1DB0"/>
    <w:rsid w:val="00BB71B3"/>
    <w:rsid w:val="00BC040C"/>
    <w:rsid w:val="00BC3FE9"/>
    <w:rsid w:val="00BC4BC8"/>
    <w:rsid w:val="00BC534F"/>
    <w:rsid w:val="00BD1BFB"/>
    <w:rsid w:val="00BD2E74"/>
    <w:rsid w:val="00BD4801"/>
    <w:rsid w:val="00BD50D9"/>
    <w:rsid w:val="00BE42E7"/>
    <w:rsid w:val="00BE7741"/>
    <w:rsid w:val="00BF0FF4"/>
    <w:rsid w:val="00BF5A50"/>
    <w:rsid w:val="00BF7515"/>
    <w:rsid w:val="00C060A1"/>
    <w:rsid w:val="00C07B3A"/>
    <w:rsid w:val="00C1280F"/>
    <w:rsid w:val="00C207FC"/>
    <w:rsid w:val="00C223CA"/>
    <w:rsid w:val="00C23902"/>
    <w:rsid w:val="00C279F8"/>
    <w:rsid w:val="00C27C71"/>
    <w:rsid w:val="00C33528"/>
    <w:rsid w:val="00C42F53"/>
    <w:rsid w:val="00C4512C"/>
    <w:rsid w:val="00C45643"/>
    <w:rsid w:val="00C71599"/>
    <w:rsid w:val="00C77ECD"/>
    <w:rsid w:val="00C82870"/>
    <w:rsid w:val="00C82BCA"/>
    <w:rsid w:val="00C91631"/>
    <w:rsid w:val="00CA444B"/>
    <w:rsid w:val="00CA6A74"/>
    <w:rsid w:val="00CA6D6B"/>
    <w:rsid w:val="00CB5B14"/>
    <w:rsid w:val="00CC081C"/>
    <w:rsid w:val="00CC38A3"/>
    <w:rsid w:val="00CC3E5F"/>
    <w:rsid w:val="00CC3F4D"/>
    <w:rsid w:val="00CC47A4"/>
    <w:rsid w:val="00CD0AA2"/>
    <w:rsid w:val="00CD17BA"/>
    <w:rsid w:val="00CD40EF"/>
    <w:rsid w:val="00CD53D3"/>
    <w:rsid w:val="00CE126A"/>
    <w:rsid w:val="00CE6F14"/>
    <w:rsid w:val="00CE7CEE"/>
    <w:rsid w:val="00CF3447"/>
    <w:rsid w:val="00D00E98"/>
    <w:rsid w:val="00D01564"/>
    <w:rsid w:val="00D01809"/>
    <w:rsid w:val="00D04A03"/>
    <w:rsid w:val="00D07603"/>
    <w:rsid w:val="00D12983"/>
    <w:rsid w:val="00D171DE"/>
    <w:rsid w:val="00D204BE"/>
    <w:rsid w:val="00D214BA"/>
    <w:rsid w:val="00D21960"/>
    <w:rsid w:val="00D2556A"/>
    <w:rsid w:val="00D31FD2"/>
    <w:rsid w:val="00D42F0A"/>
    <w:rsid w:val="00D44353"/>
    <w:rsid w:val="00D445E7"/>
    <w:rsid w:val="00D4480F"/>
    <w:rsid w:val="00D66496"/>
    <w:rsid w:val="00D67182"/>
    <w:rsid w:val="00D729B1"/>
    <w:rsid w:val="00D75F02"/>
    <w:rsid w:val="00D83E56"/>
    <w:rsid w:val="00D8500D"/>
    <w:rsid w:val="00D86CE6"/>
    <w:rsid w:val="00D94108"/>
    <w:rsid w:val="00D97E20"/>
    <w:rsid w:val="00DA4193"/>
    <w:rsid w:val="00DA59FC"/>
    <w:rsid w:val="00DC16C8"/>
    <w:rsid w:val="00DC2208"/>
    <w:rsid w:val="00DC5DC6"/>
    <w:rsid w:val="00DE429F"/>
    <w:rsid w:val="00DF0B18"/>
    <w:rsid w:val="00DF1AD0"/>
    <w:rsid w:val="00DF5C25"/>
    <w:rsid w:val="00E05322"/>
    <w:rsid w:val="00E23735"/>
    <w:rsid w:val="00E27E67"/>
    <w:rsid w:val="00E36DE6"/>
    <w:rsid w:val="00E37A50"/>
    <w:rsid w:val="00E447D6"/>
    <w:rsid w:val="00E455CF"/>
    <w:rsid w:val="00E45FD8"/>
    <w:rsid w:val="00E46CE0"/>
    <w:rsid w:val="00E5233C"/>
    <w:rsid w:val="00E57007"/>
    <w:rsid w:val="00E63B31"/>
    <w:rsid w:val="00E70C4A"/>
    <w:rsid w:val="00E7390C"/>
    <w:rsid w:val="00E765D4"/>
    <w:rsid w:val="00E77461"/>
    <w:rsid w:val="00E774B8"/>
    <w:rsid w:val="00E80A0D"/>
    <w:rsid w:val="00E83E12"/>
    <w:rsid w:val="00E950E5"/>
    <w:rsid w:val="00E959E8"/>
    <w:rsid w:val="00EA721D"/>
    <w:rsid w:val="00EC7340"/>
    <w:rsid w:val="00ED2350"/>
    <w:rsid w:val="00ED49BA"/>
    <w:rsid w:val="00ED6158"/>
    <w:rsid w:val="00ED6C0B"/>
    <w:rsid w:val="00EE784C"/>
    <w:rsid w:val="00EF0248"/>
    <w:rsid w:val="00F00A72"/>
    <w:rsid w:val="00F023F6"/>
    <w:rsid w:val="00F03F5A"/>
    <w:rsid w:val="00F076B2"/>
    <w:rsid w:val="00F11634"/>
    <w:rsid w:val="00F118D5"/>
    <w:rsid w:val="00F23202"/>
    <w:rsid w:val="00F26DE2"/>
    <w:rsid w:val="00F3038E"/>
    <w:rsid w:val="00F30683"/>
    <w:rsid w:val="00F323C2"/>
    <w:rsid w:val="00F357EA"/>
    <w:rsid w:val="00F35E31"/>
    <w:rsid w:val="00F378C6"/>
    <w:rsid w:val="00F40B4B"/>
    <w:rsid w:val="00F453E7"/>
    <w:rsid w:val="00F45776"/>
    <w:rsid w:val="00F502E3"/>
    <w:rsid w:val="00F62C17"/>
    <w:rsid w:val="00F667FC"/>
    <w:rsid w:val="00F67C0D"/>
    <w:rsid w:val="00F70032"/>
    <w:rsid w:val="00F70C1D"/>
    <w:rsid w:val="00F753C8"/>
    <w:rsid w:val="00F82A20"/>
    <w:rsid w:val="00F82E79"/>
    <w:rsid w:val="00F901E9"/>
    <w:rsid w:val="00F92959"/>
    <w:rsid w:val="00F939EA"/>
    <w:rsid w:val="00FA3FA7"/>
    <w:rsid w:val="00FA4FC6"/>
    <w:rsid w:val="00FB3D05"/>
    <w:rsid w:val="00FC0823"/>
    <w:rsid w:val="00FC1469"/>
    <w:rsid w:val="00FC14A0"/>
    <w:rsid w:val="00FC1914"/>
    <w:rsid w:val="00FC2F11"/>
    <w:rsid w:val="00FD4385"/>
    <w:rsid w:val="00FE15AC"/>
    <w:rsid w:val="00FE21DF"/>
    <w:rsid w:val="00FE319D"/>
    <w:rsid w:val="00FE3EFD"/>
    <w:rsid w:val="00FE65DE"/>
    <w:rsid w:val="00FE6785"/>
    <w:rsid w:val="00FF0290"/>
    <w:rsid w:val="00FF3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3FF0C"/>
  <w15:docId w15:val="{AE8A5B24-B8EB-4819-BEB4-D25FD0888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bls.gov/bd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hyperlink" Target="http://www.bls.gov/bdm/" TargetMode="External"/><Relationship Id="rId2" Type="http://schemas.openxmlformats.org/officeDocument/2006/relationships/styles" Target="styles.xml"/><Relationship Id="rId16" Type="http://schemas.openxmlformats.org/officeDocument/2006/relationships/hyperlink" Target="http://www.bls.gov/bd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krzyzekm\Desktop\BED\22Q1%20Table%20A%20B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zyzekm\Desktop\BED\22Q1%20Table%20A%20B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rzyzekm\Desktop\BED\22Q1%20Table%20A%20BED.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Chart</a:t>
            </a:r>
            <a:r>
              <a:rPr lang="en-US" sz="1000" baseline="0"/>
              <a:t> 1. CT Private sector gross job gains and gross job losses, seasonally adjusted 2009-2022</a:t>
            </a:r>
          </a:p>
          <a:p>
            <a:pPr>
              <a:defRPr/>
            </a:pPr>
            <a:endParaRPr lang="en-US"/>
          </a:p>
        </c:rich>
      </c:tx>
      <c:overlay val="0"/>
    </c:title>
    <c:autoTitleDeleted val="0"/>
    <c:plotArea>
      <c:layout>
        <c:manualLayout>
          <c:layoutTarget val="inner"/>
          <c:xMode val="edge"/>
          <c:yMode val="edge"/>
          <c:x val="0.13525240594925633"/>
          <c:y val="0.17818314377369496"/>
          <c:w val="0.82894250632964217"/>
          <c:h val="0.67319270830135369"/>
        </c:manualLayout>
      </c:layout>
      <c:barChart>
        <c:barDir val="col"/>
        <c:grouping val="clustered"/>
        <c:varyColors val="0"/>
        <c:ser>
          <c:idx val="2"/>
          <c:order val="2"/>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val>
            <c:numRef>
              <c:f>'Chart 1-3'!$F$72:$F$124</c:f>
              <c:numCache>
                <c:formatCode>General</c:formatCode>
                <c:ptCount val="53"/>
                <c:pt idx="0">
                  <c:v>270000</c:v>
                </c:pt>
                <c:pt idx="1">
                  <c:v>270000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270000</c:v>
                </c:pt>
                <c:pt idx="45">
                  <c:v>270000</c:v>
                </c:pt>
                <c:pt idx="46">
                  <c:v>0</c:v>
                </c:pt>
                <c:pt idx="47">
                  <c:v>0</c:v>
                </c:pt>
                <c:pt idx="48">
                  <c:v>0</c:v>
                </c:pt>
                <c:pt idx="49">
                  <c:v>0</c:v>
                </c:pt>
                <c:pt idx="50">
                  <c:v>0</c:v>
                </c:pt>
                <c:pt idx="51">
                  <c:v>0</c:v>
                </c:pt>
                <c:pt idx="52">
                  <c:v>0</c:v>
                </c:pt>
              </c:numCache>
            </c:numRef>
          </c:val>
          <c:extLst>
            <c:ext xmlns:c16="http://schemas.microsoft.com/office/drawing/2014/chart" uri="{C3380CC4-5D6E-409C-BE32-E72D297353CC}">
              <c16:uniqueId val="{00000000-FF47-455D-8CD3-95A4A05DEAEF}"/>
            </c:ext>
          </c:extLst>
        </c:ser>
        <c:dLbls>
          <c:showLegendKey val="0"/>
          <c:showVal val="0"/>
          <c:showCatName val="0"/>
          <c:showSerName val="0"/>
          <c:showPercent val="0"/>
          <c:showBubbleSize val="0"/>
        </c:dLbls>
        <c:gapWidth val="0"/>
        <c:axId val="102150528"/>
        <c:axId val="102152064"/>
      </c:barChart>
      <c:lineChart>
        <c:grouping val="standard"/>
        <c:varyColors val="0"/>
        <c:ser>
          <c:idx val="0"/>
          <c:order val="0"/>
          <c:tx>
            <c:strRef>
              <c:f>'Chart 1-3'!$N$4</c:f>
              <c:strCache>
                <c:ptCount val="1"/>
                <c:pt idx="0">
                  <c:v>Gross Job Gains</c:v>
                </c:pt>
              </c:strCache>
            </c:strRef>
          </c:tx>
          <c:marker>
            <c:symbol val="none"/>
          </c:marker>
          <c:cat>
            <c:multiLvlStrRef>
              <c:f>'Chart 1-3'!$H$72:$I$124</c:f>
              <c:multiLvlStrCache>
                <c:ptCount val="53"/>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pt idx="44">
                    <c:v>1</c:v>
                  </c:pt>
                  <c:pt idx="45">
                    <c:v>2</c:v>
                  </c:pt>
                  <c:pt idx="46">
                    <c:v>3</c:v>
                  </c:pt>
                  <c:pt idx="47">
                    <c:v>4</c:v>
                  </c:pt>
                  <c:pt idx="48">
                    <c:v>1</c:v>
                  </c:pt>
                  <c:pt idx="49">
                    <c:v>2</c:v>
                  </c:pt>
                  <c:pt idx="50">
                    <c:v>3</c:v>
                  </c:pt>
                  <c:pt idx="51">
                    <c:v>4</c:v>
                  </c:pt>
                  <c:pt idx="52">
                    <c:v>1</c:v>
                  </c:pt>
                </c:lvl>
                <c:lvl>
                  <c:pt idx="0">
                    <c:v>2009</c:v>
                  </c:pt>
                  <c:pt idx="4">
                    <c:v>2010</c:v>
                  </c:pt>
                  <c:pt idx="8">
                    <c:v>2011</c:v>
                  </c:pt>
                  <c:pt idx="12">
                    <c:v>2012</c:v>
                  </c:pt>
                  <c:pt idx="16">
                    <c:v>2013</c:v>
                  </c:pt>
                  <c:pt idx="20">
                    <c:v>2014</c:v>
                  </c:pt>
                  <c:pt idx="24">
                    <c:v>2015</c:v>
                  </c:pt>
                  <c:pt idx="28">
                    <c:v>2016</c:v>
                  </c:pt>
                  <c:pt idx="32">
                    <c:v>2017</c:v>
                  </c:pt>
                  <c:pt idx="36">
                    <c:v>2018</c:v>
                  </c:pt>
                  <c:pt idx="40">
                    <c:v>2019</c:v>
                  </c:pt>
                  <c:pt idx="44">
                    <c:v>2020</c:v>
                  </c:pt>
                  <c:pt idx="48">
                    <c:v>2021</c:v>
                  </c:pt>
                  <c:pt idx="52">
                    <c:v>22</c:v>
                  </c:pt>
                </c:lvl>
              </c:multiLvlStrCache>
            </c:multiLvlStrRef>
          </c:cat>
          <c:val>
            <c:numRef>
              <c:f>'Chart 1-3'!$N$72:$N$124</c:f>
              <c:numCache>
                <c:formatCode>#,##0</c:formatCode>
                <c:ptCount val="53"/>
                <c:pt idx="0">
                  <c:v>64465</c:v>
                </c:pt>
                <c:pt idx="1">
                  <c:v>69097</c:v>
                </c:pt>
                <c:pt idx="2">
                  <c:v>70210</c:v>
                </c:pt>
                <c:pt idx="3">
                  <c:v>70887</c:v>
                </c:pt>
                <c:pt idx="4">
                  <c:v>69519</c:v>
                </c:pt>
                <c:pt idx="5">
                  <c:v>82816</c:v>
                </c:pt>
                <c:pt idx="6">
                  <c:v>72276</c:v>
                </c:pt>
                <c:pt idx="7">
                  <c:v>74103</c:v>
                </c:pt>
                <c:pt idx="8">
                  <c:v>69115</c:v>
                </c:pt>
                <c:pt idx="9">
                  <c:v>76931</c:v>
                </c:pt>
                <c:pt idx="10">
                  <c:v>74494</c:v>
                </c:pt>
                <c:pt idx="11">
                  <c:v>72555</c:v>
                </c:pt>
                <c:pt idx="12">
                  <c:v>77552</c:v>
                </c:pt>
                <c:pt idx="13">
                  <c:v>74832</c:v>
                </c:pt>
                <c:pt idx="14">
                  <c:v>73061</c:v>
                </c:pt>
                <c:pt idx="15">
                  <c:v>75616</c:v>
                </c:pt>
                <c:pt idx="16">
                  <c:v>72740</c:v>
                </c:pt>
                <c:pt idx="17">
                  <c:v>78049</c:v>
                </c:pt>
                <c:pt idx="18">
                  <c:v>74755</c:v>
                </c:pt>
                <c:pt idx="19">
                  <c:v>73001</c:v>
                </c:pt>
                <c:pt idx="20">
                  <c:v>72610</c:v>
                </c:pt>
                <c:pt idx="21">
                  <c:v>78906</c:v>
                </c:pt>
                <c:pt idx="22">
                  <c:v>74121</c:v>
                </c:pt>
                <c:pt idx="23">
                  <c:v>76723</c:v>
                </c:pt>
                <c:pt idx="24">
                  <c:v>68683</c:v>
                </c:pt>
                <c:pt idx="25">
                  <c:v>80236</c:v>
                </c:pt>
                <c:pt idx="26">
                  <c:v>72982</c:v>
                </c:pt>
                <c:pt idx="27">
                  <c:v>77460</c:v>
                </c:pt>
                <c:pt idx="28">
                  <c:v>75545</c:v>
                </c:pt>
                <c:pt idx="29">
                  <c:v>76945</c:v>
                </c:pt>
                <c:pt idx="30">
                  <c:v>75006</c:v>
                </c:pt>
                <c:pt idx="31">
                  <c:v>72831</c:v>
                </c:pt>
                <c:pt idx="32">
                  <c:v>84312</c:v>
                </c:pt>
                <c:pt idx="33">
                  <c:v>82157</c:v>
                </c:pt>
                <c:pt idx="34">
                  <c:v>76355</c:v>
                </c:pt>
                <c:pt idx="35" formatCode="General">
                  <c:v>76254</c:v>
                </c:pt>
                <c:pt idx="36" formatCode="General">
                  <c:v>74526</c:v>
                </c:pt>
                <c:pt idx="37" formatCode="General">
                  <c:v>83153</c:v>
                </c:pt>
                <c:pt idx="38" formatCode="General">
                  <c:v>76014</c:v>
                </c:pt>
                <c:pt idx="39" formatCode="General">
                  <c:v>75965</c:v>
                </c:pt>
                <c:pt idx="40" formatCode="General">
                  <c:v>75460</c:v>
                </c:pt>
                <c:pt idx="41" formatCode="General">
                  <c:v>82955</c:v>
                </c:pt>
                <c:pt idx="42" formatCode="General">
                  <c:v>78818</c:v>
                </c:pt>
                <c:pt idx="43" formatCode="General">
                  <c:v>78119</c:v>
                </c:pt>
                <c:pt idx="44" formatCode="General">
                  <c:v>84595</c:v>
                </c:pt>
                <c:pt idx="45" formatCode="General">
                  <c:v>58560</c:v>
                </c:pt>
                <c:pt idx="46" formatCode="General">
                  <c:v>147991</c:v>
                </c:pt>
                <c:pt idx="47" formatCode="General">
                  <c:v>88459</c:v>
                </c:pt>
                <c:pt idx="48" formatCode="General">
                  <c:v>87276</c:v>
                </c:pt>
                <c:pt idx="49" formatCode="General">
                  <c:v>91231</c:v>
                </c:pt>
                <c:pt idx="50" formatCode="General">
                  <c:v>95258</c:v>
                </c:pt>
                <c:pt idx="51" formatCode="_(* #,##0_);_(* \(#,##0\);_(* &quot;-&quot;??_);_(@_)">
                  <c:v>96011</c:v>
                </c:pt>
                <c:pt idx="52" formatCode="General">
                  <c:v>90157</c:v>
                </c:pt>
              </c:numCache>
            </c:numRef>
          </c:val>
          <c:smooth val="0"/>
          <c:extLst>
            <c:ext xmlns:c16="http://schemas.microsoft.com/office/drawing/2014/chart" uri="{C3380CC4-5D6E-409C-BE32-E72D297353CC}">
              <c16:uniqueId val="{00000001-FF47-455D-8CD3-95A4A05DEAEF}"/>
            </c:ext>
          </c:extLst>
        </c:ser>
        <c:ser>
          <c:idx val="1"/>
          <c:order val="1"/>
          <c:tx>
            <c:strRef>
              <c:f>'Chart 1-3'!$Q$4</c:f>
              <c:strCache>
                <c:ptCount val="1"/>
                <c:pt idx="0">
                  <c:v>Gross Job Losses</c:v>
                </c:pt>
              </c:strCache>
            </c:strRef>
          </c:tx>
          <c:spPr>
            <a:ln>
              <a:solidFill>
                <a:srgbClr val="FF0000"/>
              </a:solidFill>
              <a:prstDash val="solid"/>
            </a:ln>
          </c:spPr>
          <c:marker>
            <c:symbol val="none"/>
          </c:marker>
          <c:cat>
            <c:multiLvlStrRef>
              <c:f>'Chart 1-3'!$H$72:$I$124</c:f>
              <c:multiLvlStrCache>
                <c:ptCount val="53"/>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pt idx="44">
                    <c:v>1</c:v>
                  </c:pt>
                  <c:pt idx="45">
                    <c:v>2</c:v>
                  </c:pt>
                  <c:pt idx="46">
                    <c:v>3</c:v>
                  </c:pt>
                  <c:pt idx="47">
                    <c:v>4</c:v>
                  </c:pt>
                  <c:pt idx="48">
                    <c:v>1</c:v>
                  </c:pt>
                  <c:pt idx="49">
                    <c:v>2</c:v>
                  </c:pt>
                  <c:pt idx="50">
                    <c:v>3</c:v>
                  </c:pt>
                  <c:pt idx="51">
                    <c:v>4</c:v>
                  </c:pt>
                  <c:pt idx="52">
                    <c:v>1</c:v>
                  </c:pt>
                </c:lvl>
                <c:lvl>
                  <c:pt idx="0">
                    <c:v>2009</c:v>
                  </c:pt>
                  <c:pt idx="4">
                    <c:v>2010</c:v>
                  </c:pt>
                  <c:pt idx="8">
                    <c:v>2011</c:v>
                  </c:pt>
                  <c:pt idx="12">
                    <c:v>2012</c:v>
                  </c:pt>
                  <c:pt idx="16">
                    <c:v>2013</c:v>
                  </c:pt>
                  <c:pt idx="20">
                    <c:v>2014</c:v>
                  </c:pt>
                  <c:pt idx="24">
                    <c:v>2015</c:v>
                  </c:pt>
                  <c:pt idx="28">
                    <c:v>2016</c:v>
                  </c:pt>
                  <c:pt idx="32">
                    <c:v>2017</c:v>
                  </c:pt>
                  <c:pt idx="36">
                    <c:v>2018</c:v>
                  </c:pt>
                  <c:pt idx="40">
                    <c:v>2019</c:v>
                  </c:pt>
                  <c:pt idx="44">
                    <c:v>2020</c:v>
                  </c:pt>
                  <c:pt idx="48">
                    <c:v>2021</c:v>
                  </c:pt>
                  <c:pt idx="52">
                    <c:v>22</c:v>
                  </c:pt>
                </c:lvl>
              </c:multiLvlStrCache>
            </c:multiLvlStrRef>
          </c:cat>
          <c:val>
            <c:numRef>
              <c:f>'Chart 1-3'!$Q$72:$Q$124</c:f>
              <c:numCache>
                <c:formatCode>#,##0</c:formatCode>
                <c:ptCount val="53"/>
                <c:pt idx="0">
                  <c:v>93164</c:v>
                </c:pt>
                <c:pt idx="1">
                  <c:v>87434</c:v>
                </c:pt>
                <c:pt idx="2">
                  <c:v>79456</c:v>
                </c:pt>
                <c:pt idx="3">
                  <c:v>76384</c:v>
                </c:pt>
                <c:pt idx="4">
                  <c:v>82630</c:v>
                </c:pt>
                <c:pt idx="5">
                  <c:v>67774</c:v>
                </c:pt>
                <c:pt idx="6">
                  <c:v>66302</c:v>
                </c:pt>
                <c:pt idx="7">
                  <c:v>71576</c:v>
                </c:pt>
                <c:pt idx="8">
                  <c:v>69428</c:v>
                </c:pt>
                <c:pt idx="9">
                  <c:v>68522</c:v>
                </c:pt>
                <c:pt idx="10">
                  <c:v>68876</c:v>
                </c:pt>
                <c:pt idx="11">
                  <c:v>71196</c:v>
                </c:pt>
                <c:pt idx="12">
                  <c:v>68188</c:v>
                </c:pt>
                <c:pt idx="13">
                  <c:v>69496</c:v>
                </c:pt>
                <c:pt idx="14">
                  <c:v>74419</c:v>
                </c:pt>
                <c:pt idx="15">
                  <c:v>71122</c:v>
                </c:pt>
                <c:pt idx="16">
                  <c:v>72482</c:v>
                </c:pt>
                <c:pt idx="17">
                  <c:v>67983</c:v>
                </c:pt>
                <c:pt idx="18">
                  <c:v>75093</c:v>
                </c:pt>
                <c:pt idx="19">
                  <c:v>75950</c:v>
                </c:pt>
                <c:pt idx="20">
                  <c:v>70918</c:v>
                </c:pt>
                <c:pt idx="21">
                  <c:v>69390</c:v>
                </c:pt>
                <c:pt idx="22">
                  <c:v>73350</c:v>
                </c:pt>
                <c:pt idx="23">
                  <c:v>73909</c:v>
                </c:pt>
                <c:pt idx="24">
                  <c:v>72996</c:v>
                </c:pt>
                <c:pt idx="25">
                  <c:v>71222</c:v>
                </c:pt>
                <c:pt idx="26">
                  <c:v>82936</c:v>
                </c:pt>
                <c:pt idx="27">
                  <c:v>71264</c:v>
                </c:pt>
                <c:pt idx="28">
                  <c:v>71764</c:v>
                </c:pt>
                <c:pt idx="29">
                  <c:v>76646</c:v>
                </c:pt>
                <c:pt idx="30">
                  <c:v>75708</c:v>
                </c:pt>
                <c:pt idx="31">
                  <c:v>75644</c:v>
                </c:pt>
                <c:pt idx="32">
                  <c:v>77051</c:v>
                </c:pt>
                <c:pt idx="33">
                  <c:v>75323</c:v>
                </c:pt>
                <c:pt idx="34">
                  <c:v>82860</c:v>
                </c:pt>
                <c:pt idx="35" formatCode="General">
                  <c:v>75597</c:v>
                </c:pt>
                <c:pt idx="36" formatCode="General">
                  <c:v>76525</c:v>
                </c:pt>
                <c:pt idx="37" formatCode="General">
                  <c:v>73135</c:v>
                </c:pt>
                <c:pt idx="38" formatCode="General">
                  <c:v>81404</c:v>
                </c:pt>
                <c:pt idx="39" formatCode="General">
                  <c:v>71698</c:v>
                </c:pt>
                <c:pt idx="40" formatCode="General">
                  <c:v>82474</c:v>
                </c:pt>
                <c:pt idx="41" formatCode="General">
                  <c:v>82425</c:v>
                </c:pt>
                <c:pt idx="42" formatCode="General">
                  <c:v>82358</c:v>
                </c:pt>
                <c:pt idx="43" formatCode="General">
                  <c:v>80002</c:v>
                </c:pt>
                <c:pt idx="44" formatCode="General">
                  <c:v>85751</c:v>
                </c:pt>
                <c:pt idx="45" formatCode="_(* #,##0_);_(* \(#,##0\);_(* &quot;-&quot;??_);_(@_)">
                  <c:v>263556</c:v>
                </c:pt>
                <c:pt idx="46" formatCode="General">
                  <c:v>65740</c:v>
                </c:pt>
                <c:pt idx="47" formatCode="General">
                  <c:v>79491</c:v>
                </c:pt>
                <c:pt idx="48" formatCode="General">
                  <c:v>72583</c:v>
                </c:pt>
                <c:pt idx="49" formatCode="General">
                  <c:v>79366</c:v>
                </c:pt>
                <c:pt idx="50" formatCode="General">
                  <c:v>82955</c:v>
                </c:pt>
                <c:pt idx="51" formatCode="_(* #,##0_);_(* \(#,##0\);_(* &quot;-&quot;??_);_(@_)">
                  <c:v>74432</c:v>
                </c:pt>
                <c:pt idx="52" formatCode="General">
                  <c:v>74954</c:v>
                </c:pt>
              </c:numCache>
            </c:numRef>
          </c:val>
          <c:smooth val="0"/>
          <c:extLst>
            <c:ext xmlns:c16="http://schemas.microsoft.com/office/drawing/2014/chart" uri="{C3380CC4-5D6E-409C-BE32-E72D297353CC}">
              <c16:uniqueId val="{00000002-FF47-455D-8CD3-95A4A05DEAEF}"/>
            </c:ext>
          </c:extLst>
        </c:ser>
        <c:dLbls>
          <c:showLegendKey val="0"/>
          <c:showVal val="0"/>
          <c:showCatName val="0"/>
          <c:showSerName val="0"/>
          <c:showPercent val="0"/>
          <c:showBubbleSize val="0"/>
        </c:dLbls>
        <c:marker val="1"/>
        <c:smooth val="0"/>
        <c:axId val="102150528"/>
        <c:axId val="102152064"/>
      </c:lineChart>
      <c:catAx>
        <c:axId val="102150528"/>
        <c:scaling>
          <c:orientation val="minMax"/>
        </c:scaling>
        <c:delete val="0"/>
        <c:axPos val="b"/>
        <c:numFmt formatCode="General" sourceLinked="1"/>
        <c:majorTickMark val="out"/>
        <c:minorTickMark val="none"/>
        <c:tickLblPos val="nextTo"/>
        <c:txPr>
          <a:bodyPr/>
          <a:lstStyle/>
          <a:p>
            <a:pPr>
              <a:defRPr sz="850">
                <a:solidFill>
                  <a:schemeClr val="tx1"/>
                </a:solidFill>
              </a:defRPr>
            </a:pPr>
            <a:endParaRPr lang="en-US"/>
          </a:p>
        </c:txPr>
        <c:crossAx val="102152064"/>
        <c:crosses val="autoZero"/>
        <c:auto val="1"/>
        <c:lblAlgn val="ctr"/>
        <c:lblOffset val="100"/>
        <c:noMultiLvlLbl val="0"/>
      </c:catAx>
      <c:valAx>
        <c:axId val="102152064"/>
        <c:scaling>
          <c:orientation val="minMax"/>
          <c:max val="270000"/>
        </c:scaling>
        <c:delete val="0"/>
        <c:axPos val="l"/>
        <c:majorGridlines/>
        <c:numFmt formatCode="#,##0" sourceLinked="0"/>
        <c:majorTickMark val="out"/>
        <c:minorTickMark val="none"/>
        <c:tickLblPos val="nextTo"/>
        <c:crossAx val="102150528"/>
        <c:crosses val="autoZero"/>
        <c:crossBetween val="between"/>
      </c:valAx>
      <c:spPr>
        <a:solidFill>
          <a:srgbClr val="FFFFFF"/>
        </a:solidFill>
      </c:spPr>
    </c:plotArea>
    <c:legend>
      <c:legendPos val="r"/>
      <c:legendEntry>
        <c:idx val="0"/>
        <c:delete val="1"/>
      </c:legendEntry>
      <c:layout>
        <c:manualLayout>
          <c:xMode val="edge"/>
          <c:yMode val="edge"/>
          <c:x val="0.52632626871070054"/>
          <c:y val="0.2825412039659736"/>
          <c:w val="0.27715496498014502"/>
          <c:h val="0.21380237931271839"/>
        </c:manualLayout>
      </c:layout>
      <c:overlay val="0"/>
    </c:legend>
    <c:plotVisOnly val="1"/>
    <c:dispBlanksAs val="gap"/>
    <c:showDLblsOverMax val="0"/>
  </c:chart>
  <c:spPr>
    <a:solidFill>
      <a:srgbClr val="FFFFFF"/>
    </a:solidFill>
    <a:ln>
      <a:solidFill>
        <a:schemeClr val="tx1">
          <a:lumMod val="50000"/>
          <a:lumOff val="5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50"/>
              <a:t>Chart</a:t>
            </a:r>
            <a:r>
              <a:rPr lang="en-US" sz="950" baseline="0"/>
              <a:t> 2. Components of CT private sector gross job gains and gross  job losses at expanding and contracting establishments, seasonally adjusted.  2009-2022</a:t>
            </a:r>
            <a:endParaRPr lang="en-US" sz="950">
              <a:effectLst/>
            </a:endParaRPr>
          </a:p>
        </c:rich>
      </c:tx>
      <c:layout>
        <c:manualLayout>
          <c:xMode val="edge"/>
          <c:yMode val="edge"/>
          <c:x val="0.10103277617037404"/>
          <c:y val="0"/>
        </c:manualLayout>
      </c:layout>
      <c:overlay val="0"/>
    </c:title>
    <c:autoTitleDeleted val="0"/>
    <c:plotArea>
      <c:layout>
        <c:manualLayout>
          <c:layoutTarget val="inner"/>
          <c:xMode val="edge"/>
          <c:yMode val="edge"/>
          <c:x val="0.13525240594925633"/>
          <c:y val="0.17818314377369496"/>
          <c:w val="0.83414230274122725"/>
          <c:h val="0.60363808690580345"/>
        </c:manualLayout>
      </c:layout>
      <c:barChart>
        <c:barDir val="col"/>
        <c:grouping val="clustered"/>
        <c:varyColors val="0"/>
        <c:ser>
          <c:idx val="2"/>
          <c:order val="2"/>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val>
            <c:numRef>
              <c:f>'Chart 1-3'!$E$72:$E$124</c:f>
              <c:numCache>
                <c:formatCode>General</c:formatCode>
                <c:ptCount val="53"/>
                <c:pt idx="0">
                  <c:v>250000</c:v>
                </c:pt>
                <c:pt idx="1">
                  <c:v>250000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250000</c:v>
                </c:pt>
                <c:pt idx="45">
                  <c:v>250000</c:v>
                </c:pt>
                <c:pt idx="46">
                  <c:v>0</c:v>
                </c:pt>
                <c:pt idx="47">
                  <c:v>0</c:v>
                </c:pt>
                <c:pt idx="48">
                  <c:v>0</c:v>
                </c:pt>
                <c:pt idx="49">
                  <c:v>0</c:v>
                </c:pt>
                <c:pt idx="50">
                  <c:v>0</c:v>
                </c:pt>
                <c:pt idx="51">
                  <c:v>0</c:v>
                </c:pt>
                <c:pt idx="52">
                  <c:v>0</c:v>
                </c:pt>
              </c:numCache>
            </c:numRef>
          </c:val>
          <c:extLst>
            <c:ext xmlns:c16="http://schemas.microsoft.com/office/drawing/2014/chart" uri="{C3380CC4-5D6E-409C-BE32-E72D297353CC}">
              <c16:uniqueId val="{00000000-E730-4D18-9D37-7BB4322B3849}"/>
            </c:ext>
          </c:extLst>
        </c:ser>
        <c:dLbls>
          <c:showLegendKey val="0"/>
          <c:showVal val="0"/>
          <c:showCatName val="0"/>
          <c:showSerName val="0"/>
          <c:showPercent val="0"/>
          <c:showBubbleSize val="0"/>
        </c:dLbls>
        <c:gapWidth val="0"/>
        <c:axId val="102535552"/>
        <c:axId val="102537088"/>
      </c:barChart>
      <c:lineChart>
        <c:grouping val="standard"/>
        <c:varyColors val="0"/>
        <c:ser>
          <c:idx val="0"/>
          <c:order val="0"/>
          <c:tx>
            <c:strRef>
              <c:f>'Chart 1-3'!$O$4</c:f>
              <c:strCache>
                <c:ptCount val="1"/>
                <c:pt idx="0">
                  <c:v>Expansions</c:v>
                </c:pt>
              </c:strCache>
            </c:strRef>
          </c:tx>
          <c:marker>
            <c:symbol val="none"/>
          </c:marker>
          <c:cat>
            <c:multiLvlStrRef>
              <c:f>'Chart 1-3'!$H$72:$I$124</c:f>
              <c:multiLvlStrCache>
                <c:ptCount val="53"/>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pt idx="44">
                    <c:v>1</c:v>
                  </c:pt>
                  <c:pt idx="45">
                    <c:v>2</c:v>
                  </c:pt>
                  <c:pt idx="46">
                    <c:v>3</c:v>
                  </c:pt>
                  <c:pt idx="47">
                    <c:v>4</c:v>
                  </c:pt>
                  <c:pt idx="48">
                    <c:v>1</c:v>
                  </c:pt>
                  <c:pt idx="49">
                    <c:v>2</c:v>
                  </c:pt>
                  <c:pt idx="50">
                    <c:v>3</c:v>
                  </c:pt>
                  <c:pt idx="51">
                    <c:v>4</c:v>
                  </c:pt>
                  <c:pt idx="52">
                    <c:v>1</c:v>
                  </c:pt>
                </c:lvl>
                <c:lvl>
                  <c:pt idx="0">
                    <c:v>2009</c:v>
                  </c:pt>
                  <c:pt idx="4">
                    <c:v>2010</c:v>
                  </c:pt>
                  <c:pt idx="8">
                    <c:v>2011</c:v>
                  </c:pt>
                  <c:pt idx="12">
                    <c:v>2012</c:v>
                  </c:pt>
                  <c:pt idx="16">
                    <c:v>2013</c:v>
                  </c:pt>
                  <c:pt idx="20">
                    <c:v>2014</c:v>
                  </c:pt>
                  <c:pt idx="24">
                    <c:v>2015</c:v>
                  </c:pt>
                  <c:pt idx="28">
                    <c:v>2016</c:v>
                  </c:pt>
                  <c:pt idx="32">
                    <c:v>2017</c:v>
                  </c:pt>
                  <c:pt idx="36">
                    <c:v>2018</c:v>
                  </c:pt>
                  <c:pt idx="40">
                    <c:v>2019</c:v>
                  </c:pt>
                  <c:pt idx="44">
                    <c:v>2020</c:v>
                  </c:pt>
                  <c:pt idx="48">
                    <c:v>2021</c:v>
                  </c:pt>
                  <c:pt idx="52">
                    <c:v>22</c:v>
                  </c:pt>
                </c:lvl>
              </c:multiLvlStrCache>
            </c:multiLvlStrRef>
          </c:cat>
          <c:val>
            <c:numRef>
              <c:f>'Chart 1-3'!$O$72:$O$124</c:f>
              <c:numCache>
                <c:formatCode>#,##0</c:formatCode>
                <c:ptCount val="53"/>
                <c:pt idx="0">
                  <c:v>54991</c:v>
                </c:pt>
                <c:pt idx="1">
                  <c:v>60568</c:v>
                </c:pt>
                <c:pt idx="2">
                  <c:v>60949</c:v>
                </c:pt>
                <c:pt idx="3">
                  <c:v>61646</c:v>
                </c:pt>
                <c:pt idx="4">
                  <c:v>60528</c:v>
                </c:pt>
                <c:pt idx="5">
                  <c:v>67753</c:v>
                </c:pt>
                <c:pt idx="6">
                  <c:v>62360</c:v>
                </c:pt>
                <c:pt idx="7">
                  <c:v>64247</c:v>
                </c:pt>
                <c:pt idx="8">
                  <c:v>60869</c:v>
                </c:pt>
                <c:pt idx="9">
                  <c:v>66090</c:v>
                </c:pt>
                <c:pt idx="10">
                  <c:v>63763</c:v>
                </c:pt>
                <c:pt idx="11">
                  <c:v>62452</c:v>
                </c:pt>
                <c:pt idx="12">
                  <c:v>67456</c:v>
                </c:pt>
                <c:pt idx="13">
                  <c:v>64525</c:v>
                </c:pt>
                <c:pt idx="14">
                  <c:v>62902</c:v>
                </c:pt>
                <c:pt idx="15">
                  <c:v>65285</c:v>
                </c:pt>
                <c:pt idx="16">
                  <c:v>63148</c:v>
                </c:pt>
                <c:pt idx="17">
                  <c:v>66695</c:v>
                </c:pt>
                <c:pt idx="18">
                  <c:v>64712</c:v>
                </c:pt>
                <c:pt idx="19">
                  <c:v>62564</c:v>
                </c:pt>
                <c:pt idx="20">
                  <c:v>63975</c:v>
                </c:pt>
                <c:pt idx="21">
                  <c:v>66251</c:v>
                </c:pt>
                <c:pt idx="22">
                  <c:v>64047</c:v>
                </c:pt>
                <c:pt idx="23">
                  <c:v>66627</c:v>
                </c:pt>
                <c:pt idx="24">
                  <c:v>60599</c:v>
                </c:pt>
                <c:pt idx="25">
                  <c:v>69514</c:v>
                </c:pt>
                <c:pt idx="26">
                  <c:v>62467</c:v>
                </c:pt>
                <c:pt idx="27">
                  <c:v>66529</c:v>
                </c:pt>
                <c:pt idx="28">
                  <c:v>65629</c:v>
                </c:pt>
                <c:pt idx="29">
                  <c:v>68083</c:v>
                </c:pt>
                <c:pt idx="30">
                  <c:v>65212</c:v>
                </c:pt>
                <c:pt idx="31">
                  <c:v>62362</c:v>
                </c:pt>
                <c:pt idx="32">
                  <c:v>73615</c:v>
                </c:pt>
                <c:pt idx="33">
                  <c:v>71821</c:v>
                </c:pt>
                <c:pt idx="34">
                  <c:v>65557</c:v>
                </c:pt>
                <c:pt idx="35" formatCode="General">
                  <c:v>65801</c:v>
                </c:pt>
                <c:pt idx="36" formatCode="General">
                  <c:v>62367</c:v>
                </c:pt>
                <c:pt idx="37" formatCode="General">
                  <c:v>71373</c:v>
                </c:pt>
                <c:pt idx="38" formatCode="General">
                  <c:v>64394</c:v>
                </c:pt>
                <c:pt idx="39" formatCode="General">
                  <c:v>65381</c:v>
                </c:pt>
                <c:pt idx="40" formatCode="General">
                  <c:v>64465</c:v>
                </c:pt>
                <c:pt idx="41" formatCode="General">
                  <c:v>67244</c:v>
                </c:pt>
                <c:pt idx="42" formatCode="General">
                  <c:v>62110</c:v>
                </c:pt>
                <c:pt idx="43" formatCode="General">
                  <c:v>65213</c:v>
                </c:pt>
                <c:pt idx="44" formatCode="General">
                  <c:v>59850</c:v>
                </c:pt>
                <c:pt idx="45" formatCode="_(* #,##0_);_(* \(#,##0\);_(* &quot;-&quot;??_);_(@_)">
                  <c:v>43342</c:v>
                </c:pt>
                <c:pt idx="46" formatCode="General">
                  <c:v>121957</c:v>
                </c:pt>
                <c:pt idx="47" formatCode="General">
                  <c:v>70866</c:v>
                </c:pt>
                <c:pt idx="48" formatCode="General">
                  <c:v>70305</c:v>
                </c:pt>
                <c:pt idx="49" formatCode="General">
                  <c:v>71380</c:v>
                </c:pt>
                <c:pt idx="50" formatCode="General">
                  <c:v>76663</c:v>
                </c:pt>
                <c:pt idx="51" formatCode="_(* #,##0_);_(* \(#,##0\);_(* &quot;-&quot;??_);_(@_)">
                  <c:v>77958</c:v>
                </c:pt>
                <c:pt idx="52" formatCode="General">
                  <c:v>73947</c:v>
                </c:pt>
              </c:numCache>
            </c:numRef>
          </c:val>
          <c:smooth val="0"/>
          <c:extLst>
            <c:ext xmlns:c16="http://schemas.microsoft.com/office/drawing/2014/chart" uri="{C3380CC4-5D6E-409C-BE32-E72D297353CC}">
              <c16:uniqueId val="{00000001-E730-4D18-9D37-7BB4322B3849}"/>
            </c:ext>
          </c:extLst>
        </c:ser>
        <c:ser>
          <c:idx val="1"/>
          <c:order val="1"/>
          <c:tx>
            <c:strRef>
              <c:f>'Chart 1-3'!$R$4</c:f>
              <c:strCache>
                <c:ptCount val="1"/>
                <c:pt idx="0">
                  <c:v>Contractions</c:v>
                </c:pt>
              </c:strCache>
            </c:strRef>
          </c:tx>
          <c:spPr>
            <a:ln>
              <a:solidFill>
                <a:srgbClr val="FF0000"/>
              </a:solidFill>
              <a:prstDash val="solid"/>
            </a:ln>
          </c:spPr>
          <c:marker>
            <c:symbol val="none"/>
          </c:marker>
          <c:cat>
            <c:multiLvlStrRef>
              <c:f>'Chart 1-3'!$H$72:$I$124</c:f>
              <c:multiLvlStrCache>
                <c:ptCount val="53"/>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pt idx="44">
                    <c:v>1</c:v>
                  </c:pt>
                  <c:pt idx="45">
                    <c:v>2</c:v>
                  </c:pt>
                  <c:pt idx="46">
                    <c:v>3</c:v>
                  </c:pt>
                  <c:pt idx="47">
                    <c:v>4</c:v>
                  </c:pt>
                  <c:pt idx="48">
                    <c:v>1</c:v>
                  </c:pt>
                  <c:pt idx="49">
                    <c:v>2</c:v>
                  </c:pt>
                  <c:pt idx="50">
                    <c:v>3</c:v>
                  </c:pt>
                  <c:pt idx="51">
                    <c:v>4</c:v>
                  </c:pt>
                  <c:pt idx="52">
                    <c:v>1</c:v>
                  </c:pt>
                </c:lvl>
                <c:lvl>
                  <c:pt idx="0">
                    <c:v>2009</c:v>
                  </c:pt>
                  <c:pt idx="4">
                    <c:v>2010</c:v>
                  </c:pt>
                  <c:pt idx="8">
                    <c:v>2011</c:v>
                  </c:pt>
                  <c:pt idx="12">
                    <c:v>2012</c:v>
                  </c:pt>
                  <c:pt idx="16">
                    <c:v>2013</c:v>
                  </c:pt>
                  <c:pt idx="20">
                    <c:v>2014</c:v>
                  </c:pt>
                  <c:pt idx="24">
                    <c:v>2015</c:v>
                  </c:pt>
                  <c:pt idx="28">
                    <c:v>2016</c:v>
                  </c:pt>
                  <c:pt idx="32">
                    <c:v>2017</c:v>
                  </c:pt>
                  <c:pt idx="36">
                    <c:v>2018</c:v>
                  </c:pt>
                  <c:pt idx="40">
                    <c:v>2019</c:v>
                  </c:pt>
                  <c:pt idx="44">
                    <c:v>2020</c:v>
                  </c:pt>
                  <c:pt idx="48">
                    <c:v>2021</c:v>
                  </c:pt>
                  <c:pt idx="52">
                    <c:v>22</c:v>
                  </c:pt>
                </c:lvl>
              </c:multiLvlStrCache>
            </c:multiLvlStrRef>
          </c:cat>
          <c:val>
            <c:numRef>
              <c:f>'Chart 1-3'!$R$72:$R$124</c:f>
              <c:numCache>
                <c:formatCode>#,##0</c:formatCode>
                <c:ptCount val="53"/>
                <c:pt idx="0">
                  <c:v>82797</c:v>
                </c:pt>
                <c:pt idx="1">
                  <c:v>76813</c:v>
                </c:pt>
                <c:pt idx="2">
                  <c:v>68609</c:v>
                </c:pt>
                <c:pt idx="3">
                  <c:v>68338</c:v>
                </c:pt>
                <c:pt idx="4">
                  <c:v>65923</c:v>
                </c:pt>
                <c:pt idx="5">
                  <c:v>61981</c:v>
                </c:pt>
                <c:pt idx="6">
                  <c:v>60824</c:v>
                </c:pt>
                <c:pt idx="7">
                  <c:v>62571</c:v>
                </c:pt>
                <c:pt idx="8">
                  <c:v>60184</c:v>
                </c:pt>
                <c:pt idx="9">
                  <c:v>60108</c:v>
                </c:pt>
                <c:pt idx="10">
                  <c:v>61849</c:v>
                </c:pt>
                <c:pt idx="11">
                  <c:v>62759</c:v>
                </c:pt>
                <c:pt idx="12">
                  <c:v>59133</c:v>
                </c:pt>
                <c:pt idx="13">
                  <c:v>60503</c:v>
                </c:pt>
                <c:pt idx="14">
                  <c:v>65102</c:v>
                </c:pt>
                <c:pt idx="15">
                  <c:v>62592</c:v>
                </c:pt>
                <c:pt idx="16">
                  <c:v>62559</c:v>
                </c:pt>
                <c:pt idx="17">
                  <c:v>59803</c:v>
                </c:pt>
                <c:pt idx="18">
                  <c:v>66542</c:v>
                </c:pt>
                <c:pt idx="19">
                  <c:v>66379</c:v>
                </c:pt>
                <c:pt idx="20">
                  <c:v>62037</c:v>
                </c:pt>
                <c:pt idx="21">
                  <c:v>61329</c:v>
                </c:pt>
                <c:pt idx="22">
                  <c:v>63967</c:v>
                </c:pt>
                <c:pt idx="23">
                  <c:v>64606</c:v>
                </c:pt>
                <c:pt idx="24">
                  <c:v>66297</c:v>
                </c:pt>
                <c:pt idx="25">
                  <c:v>62360</c:v>
                </c:pt>
                <c:pt idx="26">
                  <c:v>71762</c:v>
                </c:pt>
                <c:pt idx="27">
                  <c:v>62215</c:v>
                </c:pt>
                <c:pt idx="28">
                  <c:v>64490</c:v>
                </c:pt>
                <c:pt idx="29">
                  <c:v>66821</c:v>
                </c:pt>
                <c:pt idx="30">
                  <c:v>66252</c:v>
                </c:pt>
                <c:pt idx="31">
                  <c:v>66829</c:v>
                </c:pt>
                <c:pt idx="32">
                  <c:v>68683</c:v>
                </c:pt>
                <c:pt idx="33">
                  <c:v>65087</c:v>
                </c:pt>
                <c:pt idx="34">
                  <c:v>71118</c:v>
                </c:pt>
                <c:pt idx="35" formatCode="General">
                  <c:v>65169</c:v>
                </c:pt>
                <c:pt idx="36" formatCode="General">
                  <c:v>67407</c:v>
                </c:pt>
                <c:pt idx="37" formatCode="General">
                  <c:v>63705</c:v>
                </c:pt>
                <c:pt idx="38" formatCode="General">
                  <c:v>69931</c:v>
                </c:pt>
                <c:pt idx="39" formatCode="General">
                  <c:v>62712</c:v>
                </c:pt>
                <c:pt idx="40" formatCode="General">
                  <c:v>64691</c:v>
                </c:pt>
                <c:pt idx="41" formatCode="General">
                  <c:v>68206</c:v>
                </c:pt>
                <c:pt idx="42" formatCode="General">
                  <c:v>68446</c:v>
                </c:pt>
                <c:pt idx="43" formatCode="General">
                  <c:v>64024</c:v>
                </c:pt>
                <c:pt idx="44" formatCode="General">
                  <c:v>69574</c:v>
                </c:pt>
                <c:pt idx="45" formatCode="_(* #,##0_);_(* \(#,##0\);_(* &quot;-&quot;??_);_(@_)">
                  <c:v>225461</c:v>
                </c:pt>
                <c:pt idx="46" formatCode="General">
                  <c:v>50777</c:v>
                </c:pt>
                <c:pt idx="47" formatCode="General">
                  <c:v>63466</c:v>
                </c:pt>
                <c:pt idx="48" formatCode="General">
                  <c:v>60595</c:v>
                </c:pt>
                <c:pt idx="49" formatCode="General">
                  <c:v>66770</c:v>
                </c:pt>
                <c:pt idx="50" formatCode="General">
                  <c:v>66001</c:v>
                </c:pt>
                <c:pt idx="51" formatCode="_(* #,##0_);_(* \(#,##0\);_(* &quot;-&quot;??_);_(@_)">
                  <c:v>59142</c:v>
                </c:pt>
                <c:pt idx="52" formatCode="_(* #,##0.00_);_(* \(#,##0.00\);_(* &quot;-&quot;??_);_(@_)">
                  <c:v>62398</c:v>
                </c:pt>
              </c:numCache>
            </c:numRef>
          </c:val>
          <c:smooth val="0"/>
          <c:extLst>
            <c:ext xmlns:c16="http://schemas.microsoft.com/office/drawing/2014/chart" uri="{C3380CC4-5D6E-409C-BE32-E72D297353CC}">
              <c16:uniqueId val="{00000002-E730-4D18-9D37-7BB4322B3849}"/>
            </c:ext>
          </c:extLst>
        </c:ser>
        <c:dLbls>
          <c:showLegendKey val="0"/>
          <c:showVal val="0"/>
          <c:showCatName val="0"/>
          <c:showSerName val="0"/>
          <c:showPercent val="0"/>
          <c:showBubbleSize val="0"/>
        </c:dLbls>
        <c:marker val="1"/>
        <c:smooth val="0"/>
        <c:axId val="102535552"/>
        <c:axId val="102537088"/>
      </c:lineChart>
      <c:catAx>
        <c:axId val="102535552"/>
        <c:scaling>
          <c:orientation val="minMax"/>
        </c:scaling>
        <c:delete val="0"/>
        <c:axPos val="b"/>
        <c:numFmt formatCode="General" sourceLinked="1"/>
        <c:majorTickMark val="out"/>
        <c:minorTickMark val="none"/>
        <c:tickLblPos val="nextTo"/>
        <c:txPr>
          <a:bodyPr/>
          <a:lstStyle/>
          <a:p>
            <a:pPr>
              <a:defRPr sz="900"/>
            </a:pPr>
            <a:endParaRPr lang="en-US"/>
          </a:p>
        </c:txPr>
        <c:crossAx val="102537088"/>
        <c:crosses val="autoZero"/>
        <c:auto val="1"/>
        <c:lblAlgn val="ctr"/>
        <c:lblOffset val="100"/>
        <c:tickLblSkip val="1"/>
        <c:noMultiLvlLbl val="0"/>
      </c:catAx>
      <c:valAx>
        <c:axId val="102537088"/>
        <c:scaling>
          <c:orientation val="minMax"/>
          <c:max val="250000"/>
        </c:scaling>
        <c:delete val="0"/>
        <c:axPos val="l"/>
        <c:majorGridlines/>
        <c:numFmt formatCode="#,##0" sourceLinked="0"/>
        <c:majorTickMark val="out"/>
        <c:minorTickMark val="none"/>
        <c:tickLblPos val="nextTo"/>
        <c:crossAx val="102535552"/>
        <c:crosses val="autoZero"/>
        <c:crossBetween val="between"/>
      </c:valAx>
      <c:spPr>
        <a:solidFill>
          <a:srgbClr val="FFFFFF"/>
        </a:solidFill>
      </c:spPr>
    </c:plotArea>
    <c:legend>
      <c:legendPos val="r"/>
      <c:legendEntry>
        <c:idx val="0"/>
        <c:delete val="1"/>
      </c:legendEntry>
      <c:layout>
        <c:manualLayout>
          <c:xMode val="edge"/>
          <c:yMode val="edge"/>
          <c:x val="0.57426367979429149"/>
          <c:y val="0.3579823630472877"/>
          <c:w val="0.25292069011934781"/>
          <c:h val="0.12845600012792596"/>
        </c:manualLayout>
      </c:layout>
      <c:overlay val="0"/>
    </c:legend>
    <c:plotVisOnly val="1"/>
    <c:dispBlanksAs val="gap"/>
    <c:showDLblsOverMax val="0"/>
  </c:chart>
  <c:spPr>
    <a:solidFill>
      <a:srgbClr val="FFFFFF"/>
    </a:solidFill>
    <a:ln w="0">
      <a:solidFill>
        <a:schemeClr val="tx1">
          <a:lumMod val="50000"/>
          <a:lumOff val="5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50"/>
              <a:t>Chart</a:t>
            </a:r>
            <a:r>
              <a:rPr lang="en-US" sz="950" baseline="0"/>
              <a:t> 3. Components of CT private sector gross job gains and gross  job losses at opening and closing establishments, seasonally adjusted. </a:t>
            </a:r>
            <a:br>
              <a:rPr lang="en-US" sz="950" baseline="0"/>
            </a:br>
            <a:r>
              <a:rPr lang="en-US" sz="950" baseline="0"/>
              <a:t>2009-2022</a:t>
            </a:r>
          </a:p>
          <a:p>
            <a:pPr>
              <a:defRPr/>
            </a:pPr>
            <a:endParaRPr lang="en-US"/>
          </a:p>
        </c:rich>
      </c:tx>
      <c:layout>
        <c:manualLayout>
          <c:xMode val="edge"/>
          <c:yMode val="edge"/>
          <c:x val="9.8304505078922882E-2"/>
          <c:y val="0"/>
        </c:manualLayout>
      </c:layout>
      <c:overlay val="0"/>
    </c:title>
    <c:autoTitleDeleted val="0"/>
    <c:plotArea>
      <c:layout>
        <c:manualLayout>
          <c:layoutTarget val="inner"/>
          <c:xMode val="edge"/>
          <c:yMode val="edge"/>
          <c:x val="0.13525240594925633"/>
          <c:y val="0.17818314377369496"/>
          <c:w val="0.82469754845538779"/>
          <c:h val="0.59106324077574812"/>
        </c:manualLayout>
      </c:layout>
      <c:barChart>
        <c:barDir val="col"/>
        <c:grouping val="clustered"/>
        <c:varyColors val="0"/>
        <c:ser>
          <c:idx val="2"/>
          <c:order val="2"/>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val>
            <c:numRef>
              <c:f>'Chart 1-3'!$D$72:$D$124</c:f>
              <c:numCache>
                <c:formatCode>General</c:formatCode>
                <c:ptCount val="53"/>
                <c:pt idx="0">
                  <c:v>40000</c:v>
                </c:pt>
                <c:pt idx="1">
                  <c:v>40000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40000</c:v>
                </c:pt>
                <c:pt idx="45">
                  <c:v>40000</c:v>
                </c:pt>
                <c:pt idx="46">
                  <c:v>0</c:v>
                </c:pt>
                <c:pt idx="47">
                  <c:v>0</c:v>
                </c:pt>
                <c:pt idx="48">
                  <c:v>0</c:v>
                </c:pt>
                <c:pt idx="49">
                  <c:v>0</c:v>
                </c:pt>
                <c:pt idx="50">
                  <c:v>0</c:v>
                </c:pt>
                <c:pt idx="51">
                  <c:v>0</c:v>
                </c:pt>
                <c:pt idx="52">
                  <c:v>0</c:v>
                </c:pt>
              </c:numCache>
            </c:numRef>
          </c:val>
          <c:extLst>
            <c:ext xmlns:c16="http://schemas.microsoft.com/office/drawing/2014/chart" uri="{C3380CC4-5D6E-409C-BE32-E72D297353CC}">
              <c16:uniqueId val="{00000000-E450-4EA8-9E31-19702B2615BD}"/>
            </c:ext>
          </c:extLst>
        </c:ser>
        <c:dLbls>
          <c:showLegendKey val="0"/>
          <c:showVal val="0"/>
          <c:showCatName val="0"/>
          <c:showSerName val="0"/>
          <c:showPercent val="0"/>
          <c:showBubbleSize val="0"/>
        </c:dLbls>
        <c:gapWidth val="0"/>
        <c:axId val="105158528"/>
        <c:axId val="105160064"/>
      </c:barChart>
      <c:lineChart>
        <c:grouping val="standard"/>
        <c:varyColors val="0"/>
        <c:ser>
          <c:idx val="0"/>
          <c:order val="0"/>
          <c:tx>
            <c:strRef>
              <c:f>'Chart 1-3'!$P$5</c:f>
              <c:strCache>
                <c:ptCount val="1"/>
                <c:pt idx="0">
                  <c:v>Opening</c:v>
                </c:pt>
              </c:strCache>
            </c:strRef>
          </c:tx>
          <c:spPr>
            <a:ln>
              <a:solidFill>
                <a:srgbClr val="00B050"/>
              </a:solidFill>
            </a:ln>
          </c:spPr>
          <c:marker>
            <c:symbol val="none"/>
          </c:marker>
          <c:cat>
            <c:multiLvlStrRef>
              <c:f>'Chart 1-3'!$H$72:$I$124</c:f>
              <c:multiLvlStrCache>
                <c:ptCount val="53"/>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pt idx="44">
                    <c:v>1</c:v>
                  </c:pt>
                  <c:pt idx="45">
                    <c:v>2</c:v>
                  </c:pt>
                  <c:pt idx="46">
                    <c:v>3</c:v>
                  </c:pt>
                  <c:pt idx="47">
                    <c:v>4</c:v>
                  </c:pt>
                  <c:pt idx="48">
                    <c:v>1</c:v>
                  </c:pt>
                  <c:pt idx="49">
                    <c:v>2</c:v>
                  </c:pt>
                  <c:pt idx="50">
                    <c:v>3</c:v>
                  </c:pt>
                  <c:pt idx="51">
                    <c:v>4</c:v>
                  </c:pt>
                  <c:pt idx="52">
                    <c:v>1</c:v>
                  </c:pt>
                </c:lvl>
                <c:lvl>
                  <c:pt idx="0">
                    <c:v>2009</c:v>
                  </c:pt>
                  <c:pt idx="4">
                    <c:v>2010</c:v>
                  </c:pt>
                  <c:pt idx="8">
                    <c:v>2011</c:v>
                  </c:pt>
                  <c:pt idx="12">
                    <c:v>2012</c:v>
                  </c:pt>
                  <c:pt idx="16">
                    <c:v>2013</c:v>
                  </c:pt>
                  <c:pt idx="20">
                    <c:v>2014</c:v>
                  </c:pt>
                  <c:pt idx="24">
                    <c:v>2015</c:v>
                  </c:pt>
                  <c:pt idx="28">
                    <c:v>2016</c:v>
                  </c:pt>
                  <c:pt idx="32">
                    <c:v>2017</c:v>
                  </c:pt>
                  <c:pt idx="36">
                    <c:v>2018</c:v>
                  </c:pt>
                  <c:pt idx="40">
                    <c:v>2019</c:v>
                  </c:pt>
                  <c:pt idx="44">
                    <c:v>2020</c:v>
                  </c:pt>
                  <c:pt idx="48">
                    <c:v>2021</c:v>
                  </c:pt>
                  <c:pt idx="52">
                    <c:v>22</c:v>
                  </c:pt>
                </c:lvl>
              </c:multiLvlStrCache>
            </c:multiLvlStrRef>
          </c:cat>
          <c:val>
            <c:numRef>
              <c:f>'Chart 1-3'!$P$72:$P$124</c:f>
              <c:numCache>
                <c:formatCode>#,##0</c:formatCode>
                <c:ptCount val="53"/>
                <c:pt idx="0">
                  <c:v>9474</c:v>
                </c:pt>
                <c:pt idx="1">
                  <c:v>8529</c:v>
                </c:pt>
                <c:pt idx="2">
                  <c:v>9261</c:v>
                </c:pt>
                <c:pt idx="3">
                  <c:v>9241</c:v>
                </c:pt>
                <c:pt idx="4">
                  <c:v>8991</c:v>
                </c:pt>
                <c:pt idx="5">
                  <c:v>15063</c:v>
                </c:pt>
                <c:pt idx="6">
                  <c:v>9916</c:v>
                </c:pt>
                <c:pt idx="7">
                  <c:v>9856</c:v>
                </c:pt>
                <c:pt idx="8">
                  <c:v>8246</c:v>
                </c:pt>
                <c:pt idx="9">
                  <c:v>10841</c:v>
                </c:pt>
                <c:pt idx="10">
                  <c:v>10731</c:v>
                </c:pt>
                <c:pt idx="11">
                  <c:v>10103</c:v>
                </c:pt>
                <c:pt idx="12">
                  <c:v>10096</c:v>
                </c:pt>
                <c:pt idx="13">
                  <c:v>10307</c:v>
                </c:pt>
                <c:pt idx="14">
                  <c:v>10159</c:v>
                </c:pt>
                <c:pt idx="15">
                  <c:v>10331</c:v>
                </c:pt>
                <c:pt idx="16">
                  <c:v>9592</c:v>
                </c:pt>
                <c:pt idx="17">
                  <c:v>11354</c:v>
                </c:pt>
                <c:pt idx="18">
                  <c:v>10043</c:v>
                </c:pt>
                <c:pt idx="19">
                  <c:v>10437</c:v>
                </c:pt>
                <c:pt idx="20">
                  <c:v>8635</c:v>
                </c:pt>
                <c:pt idx="21">
                  <c:v>12655</c:v>
                </c:pt>
                <c:pt idx="22">
                  <c:v>10074</c:v>
                </c:pt>
                <c:pt idx="23">
                  <c:v>10096</c:v>
                </c:pt>
                <c:pt idx="24">
                  <c:v>8084</c:v>
                </c:pt>
                <c:pt idx="25">
                  <c:v>10722</c:v>
                </c:pt>
                <c:pt idx="26">
                  <c:v>10515</c:v>
                </c:pt>
                <c:pt idx="27">
                  <c:v>10931</c:v>
                </c:pt>
                <c:pt idx="28">
                  <c:v>9916</c:v>
                </c:pt>
                <c:pt idx="29">
                  <c:v>8862</c:v>
                </c:pt>
                <c:pt idx="30">
                  <c:v>9794</c:v>
                </c:pt>
                <c:pt idx="31">
                  <c:v>10469</c:v>
                </c:pt>
                <c:pt idx="32">
                  <c:v>10697</c:v>
                </c:pt>
                <c:pt idx="33">
                  <c:v>10336</c:v>
                </c:pt>
                <c:pt idx="34">
                  <c:v>10798</c:v>
                </c:pt>
                <c:pt idx="35" formatCode="General">
                  <c:v>10453</c:v>
                </c:pt>
                <c:pt idx="36" formatCode="General">
                  <c:v>12159</c:v>
                </c:pt>
                <c:pt idx="37" formatCode="General">
                  <c:v>11780</c:v>
                </c:pt>
                <c:pt idx="38" formatCode="General">
                  <c:v>11620</c:v>
                </c:pt>
                <c:pt idx="39" formatCode="General">
                  <c:v>10584</c:v>
                </c:pt>
                <c:pt idx="40" formatCode="General">
                  <c:v>10995</c:v>
                </c:pt>
                <c:pt idx="41" formatCode="General">
                  <c:v>15711</c:v>
                </c:pt>
                <c:pt idx="42" formatCode="General">
                  <c:v>16708</c:v>
                </c:pt>
                <c:pt idx="43" formatCode="General">
                  <c:v>12906</c:v>
                </c:pt>
                <c:pt idx="44" formatCode="General">
                  <c:v>24745</c:v>
                </c:pt>
                <c:pt idx="45" formatCode="_(* #,##0_);_(* \(#,##0\);_(* &quot;-&quot;??_);_(@_)">
                  <c:v>15218</c:v>
                </c:pt>
                <c:pt idx="46" formatCode="General">
                  <c:v>26034</c:v>
                </c:pt>
                <c:pt idx="47" formatCode="General">
                  <c:v>17593</c:v>
                </c:pt>
                <c:pt idx="48" formatCode="General">
                  <c:v>16971</c:v>
                </c:pt>
                <c:pt idx="49" formatCode="General">
                  <c:v>19851</c:v>
                </c:pt>
                <c:pt idx="50" formatCode="General">
                  <c:v>18595</c:v>
                </c:pt>
                <c:pt idx="51" formatCode="_(* #,##0_);_(* \(#,##0\);_(* &quot;-&quot;??_);_(@_)">
                  <c:v>18053</c:v>
                </c:pt>
                <c:pt idx="52" formatCode="General">
                  <c:v>16210</c:v>
                </c:pt>
              </c:numCache>
            </c:numRef>
          </c:val>
          <c:smooth val="0"/>
          <c:extLst>
            <c:ext xmlns:c16="http://schemas.microsoft.com/office/drawing/2014/chart" uri="{C3380CC4-5D6E-409C-BE32-E72D297353CC}">
              <c16:uniqueId val="{00000001-E450-4EA8-9E31-19702B2615BD}"/>
            </c:ext>
          </c:extLst>
        </c:ser>
        <c:ser>
          <c:idx val="1"/>
          <c:order val="1"/>
          <c:tx>
            <c:strRef>
              <c:f>'Chart 1-3'!$S$5</c:f>
              <c:strCache>
                <c:ptCount val="1"/>
                <c:pt idx="0">
                  <c:v>Closing</c:v>
                </c:pt>
              </c:strCache>
            </c:strRef>
          </c:tx>
          <c:spPr>
            <a:ln>
              <a:solidFill>
                <a:srgbClr val="7030A0"/>
              </a:solidFill>
              <a:prstDash val="solid"/>
            </a:ln>
          </c:spPr>
          <c:marker>
            <c:symbol val="none"/>
          </c:marker>
          <c:cat>
            <c:multiLvlStrRef>
              <c:f>'Chart 1-3'!$H$72:$I$124</c:f>
              <c:multiLvlStrCache>
                <c:ptCount val="53"/>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pt idx="44">
                    <c:v>1</c:v>
                  </c:pt>
                  <c:pt idx="45">
                    <c:v>2</c:v>
                  </c:pt>
                  <c:pt idx="46">
                    <c:v>3</c:v>
                  </c:pt>
                  <c:pt idx="47">
                    <c:v>4</c:v>
                  </c:pt>
                  <c:pt idx="48">
                    <c:v>1</c:v>
                  </c:pt>
                  <c:pt idx="49">
                    <c:v>2</c:v>
                  </c:pt>
                  <c:pt idx="50">
                    <c:v>3</c:v>
                  </c:pt>
                  <c:pt idx="51">
                    <c:v>4</c:v>
                  </c:pt>
                  <c:pt idx="52">
                    <c:v>1</c:v>
                  </c:pt>
                </c:lvl>
                <c:lvl>
                  <c:pt idx="0">
                    <c:v>2009</c:v>
                  </c:pt>
                  <c:pt idx="4">
                    <c:v>2010</c:v>
                  </c:pt>
                  <c:pt idx="8">
                    <c:v>2011</c:v>
                  </c:pt>
                  <c:pt idx="12">
                    <c:v>2012</c:v>
                  </c:pt>
                  <c:pt idx="16">
                    <c:v>2013</c:v>
                  </c:pt>
                  <c:pt idx="20">
                    <c:v>2014</c:v>
                  </c:pt>
                  <c:pt idx="24">
                    <c:v>2015</c:v>
                  </c:pt>
                  <c:pt idx="28">
                    <c:v>2016</c:v>
                  </c:pt>
                  <c:pt idx="32">
                    <c:v>2017</c:v>
                  </c:pt>
                  <c:pt idx="36">
                    <c:v>2018</c:v>
                  </c:pt>
                  <c:pt idx="40">
                    <c:v>2019</c:v>
                  </c:pt>
                  <c:pt idx="44">
                    <c:v>2020</c:v>
                  </c:pt>
                  <c:pt idx="48">
                    <c:v>2021</c:v>
                  </c:pt>
                  <c:pt idx="52">
                    <c:v>22</c:v>
                  </c:pt>
                </c:lvl>
              </c:multiLvlStrCache>
            </c:multiLvlStrRef>
          </c:cat>
          <c:val>
            <c:numRef>
              <c:f>'Chart 1-3'!$S$72:$S$124</c:f>
              <c:numCache>
                <c:formatCode>#,##0</c:formatCode>
                <c:ptCount val="53"/>
                <c:pt idx="0">
                  <c:v>10367</c:v>
                </c:pt>
                <c:pt idx="1">
                  <c:v>10621</c:v>
                </c:pt>
                <c:pt idx="2">
                  <c:v>10847</c:v>
                </c:pt>
                <c:pt idx="3">
                  <c:v>8046</c:v>
                </c:pt>
                <c:pt idx="4">
                  <c:v>16707</c:v>
                </c:pt>
                <c:pt idx="5">
                  <c:v>5793</c:v>
                </c:pt>
                <c:pt idx="6">
                  <c:v>5478</c:v>
                </c:pt>
                <c:pt idx="7">
                  <c:v>9005</c:v>
                </c:pt>
                <c:pt idx="8">
                  <c:v>9244</c:v>
                </c:pt>
                <c:pt idx="9">
                  <c:v>8414</c:v>
                </c:pt>
                <c:pt idx="10">
                  <c:v>7027</c:v>
                </c:pt>
                <c:pt idx="11">
                  <c:v>8437</c:v>
                </c:pt>
                <c:pt idx="12">
                  <c:v>9055</c:v>
                </c:pt>
                <c:pt idx="13">
                  <c:v>8993</c:v>
                </c:pt>
                <c:pt idx="14">
                  <c:v>9317</c:v>
                </c:pt>
                <c:pt idx="15">
                  <c:v>8530</c:v>
                </c:pt>
                <c:pt idx="16">
                  <c:v>9923</c:v>
                </c:pt>
                <c:pt idx="17">
                  <c:v>8180</c:v>
                </c:pt>
                <c:pt idx="18">
                  <c:v>8551</c:v>
                </c:pt>
                <c:pt idx="19">
                  <c:v>9571</c:v>
                </c:pt>
                <c:pt idx="20">
                  <c:v>8881</c:v>
                </c:pt>
                <c:pt idx="21">
                  <c:v>8061</c:v>
                </c:pt>
                <c:pt idx="22">
                  <c:v>9383</c:v>
                </c:pt>
                <c:pt idx="23">
                  <c:v>9303</c:v>
                </c:pt>
                <c:pt idx="24">
                  <c:v>6699</c:v>
                </c:pt>
                <c:pt idx="25">
                  <c:v>8862</c:v>
                </c:pt>
                <c:pt idx="26">
                  <c:v>11174</c:v>
                </c:pt>
                <c:pt idx="27">
                  <c:v>9049</c:v>
                </c:pt>
                <c:pt idx="28">
                  <c:v>7274</c:v>
                </c:pt>
                <c:pt idx="29">
                  <c:v>9825</c:v>
                </c:pt>
                <c:pt idx="30">
                  <c:v>9456</c:v>
                </c:pt>
                <c:pt idx="31">
                  <c:v>8815</c:v>
                </c:pt>
                <c:pt idx="32">
                  <c:v>8368</c:v>
                </c:pt>
                <c:pt idx="33">
                  <c:v>10236</c:v>
                </c:pt>
                <c:pt idx="34">
                  <c:v>11742</c:v>
                </c:pt>
                <c:pt idx="35" formatCode="General">
                  <c:v>10428</c:v>
                </c:pt>
                <c:pt idx="36" formatCode="General">
                  <c:v>9118</c:v>
                </c:pt>
                <c:pt idx="37" formatCode="General">
                  <c:v>9430</c:v>
                </c:pt>
                <c:pt idx="38" formatCode="General">
                  <c:v>11473</c:v>
                </c:pt>
                <c:pt idx="39" formatCode="General">
                  <c:v>8986</c:v>
                </c:pt>
                <c:pt idx="40" formatCode="General">
                  <c:v>17783</c:v>
                </c:pt>
                <c:pt idx="41" formatCode="General">
                  <c:v>14219</c:v>
                </c:pt>
                <c:pt idx="42" formatCode="General">
                  <c:v>13912</c:v>
                </c:pt>
                <c:pt idx="43" formatCode="General">
                  <c:v>15978</c:v>
                </c:pt>
                <c:pt idx="44" formatCode="General">
                  <c:v>16177</c:v>
                </c:pt>
                <c:pt idx="45" formatCode="_(* #,##0_);_(* \(#,##0\);_(* &quot;-&quot;??_);_(@_)">
                  <c:v>38095</c:v>
                </c:pt>
                <c:pt idx="46" formatCode="General">
                  <c:v>14963</c:v>
                </c:pt>
                <c:pt idx="47" formatCode="General">
                  <c:v>16025</c:v>
                </c:pt>
                <c:pt idx="48" formatCode="General">
                  <c:v>11988</c:v>
                </c:pt>
                <c:pt idx="49" formatCode="General">
                  <c:v>12596</c:v>
                </c:pt>
                <c:pt idx="50" formatCode="General">
                  <c:v>16954</c:v>
                </c:pt>
                <c:pt idx="51" formatCode="_(* #,##0_);_(* \(#,##0\);_(* &quot;-&quot;??_);_(@_)">
                  <c:v>15290</c:v>
                </c:pt>
                <c:pt idx="52" formatCode="_(* #,##0.00_);_(* \(#,##0.00\);_(* &quot;-&quot;??_);_(@_)">
                  <c:v>12556</c:v>
                </c:pt>
              </c:numCache>
            </c:numRef>
          </c:val>
          <c:smooth val="0"/>
          <c:extLst>
            <c:ext xmlns:c16="http://schemas.microsoft.com/office/drawing/2014/chart" uri="{C3380CC4-5D6E-409C-BE32-E72D297353CC}">
              <c16:uniqueId val="{00000002-E450-4EA8-9E31-19702B2615BD}"/>
            </c:ext>
          </c:extLst>
        </c:ser>
        <c:dLbls>
          <c:showLegendKey val="0"/>
          <c:showVal val="0"/>
          <c:showCatName val="0"/>
          <c:showSerName val="0"/>
          <c:showPercent val="0"/>
          <c:showBubbleSize val="0"/>
        </c:dLbls>
        <c:marker val="1"/>
        <c:smooth val="0"/>
        <c:axId val="105158528"/>
        <c:axId val="105160064"/>
      </c:lineChart>
      <c:catAx>
        <c:axId val="105158528"/>
        <c:scaling>
          <c:orientation val="minMax"/>
        </c:scaling>
        <c:delete val="0"/>
        <c:axPos val="b"/>
        <c:numFmt formatCode="General" sourceLinked="1"/>
        <c:majorTickMark val="out"/>
        <c:minorTickMark val="none"/>
        <c:tickLblPos val="nextTo"/>
        <c:txPr>
          <a:bodyPr rot="0" vert="horz"/>
          <a:lstStyle/>
          <a:p>
            <a:pPr>
              <a:defRPr sz="900"/>
            </a:pPr>
            <a:endParaRPr lang="en-US"/>
          </a:p>
        </c:txPr>
        <c:crossAx val="105160064"/>
        <c:crosses val="autoZero"/>
        <c:auto val="1"/>
        <c:lblAlgn val="ctr"/>
        <c:lblOffset val="100"/>
        <c:tickLblSkip val="1"/>
        <c:tickMarkSkip val="1"/>
        <c:noMultiLvlLbl val="0"/>
      </c:catAx>
      <c:valAx>
        <c:axId val="105160064"/>
        <c:scaling>
          <c:orientation val="minMax"/>
          <c:max val="40000"/>
        </c:scaling>
        <c:delete val="0"/>
        <c:axPos val="l"/>
        <c:majorGridlines/>
        <c:numFmt formatCode="#,##0" sourceLinked="0"/>
        <c:majorTickMark val="out"/>
        <c:minorTickMark val="none"/>
        <c:tickLblPos val="nextTo"/>
        <c:crossAx val="105158528"/>
        <c:crosses val="autoZero"/>
        <c:crossBetween val="between"/>
      </c:valAx>
      <c:spPr>
        <a:solidFill>
          <a:srgbClr val="FFFFFF"/>
        </a:solidFill>
      </c:spPr>
    </c:plotArea>
    <c:legend>
      <c:legendPos val="r"/>
      <c:legendEntry>
        <c:idx val="0"/>
        <c:delete val="1"/>
      </c:legendEntry>
      <c:layout>
        <c:manualLayout>
          <c:xMode val="edge"/>
          <c:yMode val="edge"/>
          <c:x val="0.55257023475136546"/>
          <c:y val="0.33806144172627545"/>
          <c:w val="0.242044338425289"/>
          <c:h val="0.13030580034864514"/>
        </c:manualLayout>
      </c:layout>
      <c:overlay val="0"/>
    </c:legend>
    <c:plotVisOnly val="1"/>
    <c:dispBlanksAs val="gap"/>
    <c:showDLblsOverMax val="0"/>
  </c:chart>
  <c:spPr>
    <a:solidFill>
      <a:srgbClr val="FFFFFF"/>
    </a:solidFill>
    <a:ln w="0">
      <a:solidFill>
        <a:schemeClr val="tx1">
          <a:lumMod val="50000"/>
          <a:lumOff val="50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a:t>Chart 4. Establishment Births, Deaths, and Net Change</a:t>
            </a:r>
            <a:br>
              <a:rPr lang="en-US" sz="900"/>
            </a:br>
            <a:r>
              <a:rPr lang="en-US" sz="900"/>
              <a:t>2009-2022</a:t>
            </a:r>
          </a:p>
        </c:rich>
      </c:tx>
      <c:overlay val="0"/>
    </c:title>
    <c:autoTitleDeleted val="0"/>
    <c:plotArea>
      <c:layout>
        <c:manualLayout>
          <c:layoutTarget val="inner"/>
          <c:xMode val="edge"/>
          <c:yMode val="edge"/>
          <c:x val="0.11410464994510235"/>
          <c:y val="0.15774314668999706"/>
          <c:w val="0.85573132642893157"/>
          <c:h val="0.52889472149314665"/>
        </c:manualLayout>
      </c:layout>
      <c:areaChart>
        <c:grouping val="standard"/>
        <c:varyColors val="0"/>
        <c:ser>
          <c:idx val="1"/>
          <c:order val="0"/>
          <c:tx>
            <c:strRef>
              <c:f>'Chart 4 Births_Deaths'!$I$1</c:f>
              <c:strCache>
                <c:ptCount val="1"/>
                <c:pt idx="0">
                  <c:v>Establishment Births</c:v>
                </c:pt>
              </c:strCache>
            </c:strRef>
          </c:tx>
          <c:spPr>
            <a:solidFill>
              <a:srgbClr val="61CD9A"/>
            </a:solidFill>
            <a:ln w="25400">
              <a:noFill/>
            </a:ln>
          </c:spPr>
          <c:cat>
            <c:multiLvlStrRef>
              <c:f>'Chart 4 Births_Deaths'!$T$76:$U$128</c:f>
              <c:multiLvlStrCache>
                <c:ptCount val="53"/>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pt idx="44">
                    <c:v>1</c:v>
                  </c:pt>
                  <c:pt idx="45">
                    <c:v>2</c:v>
                  </c:pt>
                  <c:pt idx="46">
                    <c:v>3</c:v>
                  </c:pt>
                  <c:pt idx="47">
                    <c:v>4</c:v>
                  </c:pt>
                  <c:pt idx="48">
                    <c:v>1</c:v>
                  </c:pt>
                  <c:pt idx="49">
                    <c:v>2</c:v>
                  </c:pt>
                  <c:pt idx="50">
                    <c:v>3</c:v>
                  </c:pt>
                  <c:pt idx="51">
                    <c:v>4</c:v>
                  </c:pt>
                  <c:pt idx="52">
                    <c:v>1</c:v>
                  </c:pt>
                </c:lvl>
                <c:lvl>
                  <c:pt idx="0">
                    <c:v>2009</c:v>
                  </c:pt>
                  <c:pt idx="4">
                    <c:v>2010</c:v>
                  </c:pt>
                  <c:pt idx="8">
                    <c:v>2011</c:v>
                  </c:pt>
                  <c:pt idx="12">
                    <c:v>2012</c:v>
                  </c:pt>
                  <c:pt idx="16">
                    <c:v>2013</c:v>
                  </c:pt>
                  <c:pt idx="20">
                    <c:v>2014</c:v>
                  </c:pt>
                  <c:pt idx="24">
                    <c:v>2015</c:v>
                  </c:pt>
                  <c:pt idx="28">
                    <c:v>2016</c:v>
                  </c:pt>
                  <c:pt idx="32">
                    <c:v>2017</c:v>
                  </c:pt>
                  <c:pt idx="36">
                    <c:v>2018</c:v>
                  </c:pt>
                  <c:pt idx="40">
                    <c:v>2019</c:v>
                  </c:pt>
                  <c:pt idx="44">
                    <c:v>2020</c:v>
                  </c:pt>
                  <c:pt idx="48">
                    <c:v>2021</c:v>
                  </c:pt>
                  <c:pt idx="52">
                    <c:v>22</c:v>
                  </c:pt>
                </c:lvl>
              </c:multiLvlStrCache>
            </c:multiLvlStrRef>
          </c:cat>
          <c:val>
            <c:numRef>
              <c:f>'Chart 4 Births_Deaths'!$I$76:$I$128</c:f>
              <c:numCache>
                <c:formatCode>#,##0</c:formatCode>
                <c:ptCount val="53"/>
                <c:pt idx="0">
                  <c:v>1827</c:v>
                </c:pt>
                <c:pt idx="1">
                  <c:v>1717</c:v>
                </c:pt>
                <c:pt idx="2">
                  <c:v>1753</c:v>
                </c:pt>
                <c:pt idx="3">
                  <c:v>1769</c:v>
                </c:pt>
                <c:pt idx="4">
                  <c:v>1844</c:v>
                </c:pt>
                <c:pt idx="5">
                  <c:v>1765</c:v>
                </c:pt>
                <c:pt idx="6">
                  <c:v>1918</c:v>
                </c:pt>
                <c:pt idx="7">
                  <c:v>1965</c:v>
                </c:pt>
                <c:pt idx="8">
                  <c:v>2020</c:v>
                </c:pt>
                <c:pt idx="9">
                  <c:v>1970</c:v>
                </c:pt>
                <c:pt idx="10">
                  <c:v>1905</c:v>
                </c:pt>
                <c:pt idx="11">
                  <c:v>2018</c:v>
                </c:pt>
                <c:pt idx="12">
                  <c:v>2072</c:v>
                </c:pt>
                <c:pt idx="13">
                  <c:v>2265</c:v>
                </c:pt>
                <c:pt idx="14">
                  <c:v>2030</c:v>
                </c:pt>
                <c:pt idx="15">
                  <c:v>2047</c:v>
                </c:pt>
                <c:pt idx="16">
                  <c:v>2115</c:v>
                </c:pt>
                <c:pt idx="17">
                  <c:v>2021</c:v>
                </c:pt>
                <c:pt idx="18">
                  <c:v>2160</c:v>
                </c:pt>
                <c:pt idx="19">
                  <c:v>2000</c:v>
                </c:pt>
                <c:pt idx="20">
                  <c:v>2072</c:v>
                </c:pt>
                <c:pt idx="21">
                  <c:v>2029</c:v>
                </c:pt>
                <c:pt idx="22">
                  <c:v>2150</c:v>
                </c:pt>
                <c:pt idx="23">
                  <c:v>2059</c:v>
                </c:pt>
                <c:pt idx="24">
                  <c:v>1954</c:v>
                </c:pt>
                <c:pt idx="25">
                  <c:v>2284</c:v>
                </c:pt>
                <c:pt idx="26">
                  <c:v>2361</c:v>
                </c:pt>
                <c:pt idx="27">
                  <c:v>2148</c:v>
                </c:pt>
                <c:pt idx="28">
                  <c:v>2093</c:v>
                </c:pt>
                <c:pt idx="29">
                  <c:v>2146</c:v>
                </c:pt>
                <c:pt idx="30">
                  <c:v>2096</c:v>
                </c:pt>
                <c:pt idx="31">
                  <c:v>1992</c:v>
                </c:pt>
                <c:pt idx="32">
                  <c:v>2276</c:v>
                </c:pt>
                <c:pt idx="33">
                  <c:v>2194</c:v>
                </c:pt>
                <c:pt idx="34">
                  <c:v>2245</c:v>
                </c:pt>
                <c:pt idx="35">
                  <c:v>2246</c:v>
                </c:pt>
                <c:pt idx="36">
                  <c:v>2259</c:v>
                </c:pt>
                <c:pt idx="37">
                  <c:v>2296</c:v>
                </c:pt>
                <c:pt idx="38">
                  <c:v>2351</c:v>
                </c:pt>
                <c:pt idx="39">
                  <c:v>2224</c:v>
                </c:pt>
                <c:pt idx="40">
                  <c:v>2456</c:v>
                </c:pt>
                <c:pt idx="41">
                  <c:v>2222</c:v>
                </c:pt>
                <c:pt idx="42">
                  <c:v>2373</c:v>
                </c:pt>
                <c:pt idx="43">
                  <c:v>2158</c:v>
                </c:pt>
                <c:pt idx="44">
                  <c:v>6712</c:v>
                </c:pt>
                <c:pt idx="45">
                  <c:v>2317</c:v>
                </c:pt>
                <c:pt idx="46">
                  <c:v>3403</c:v>
                </c:pt>
                <c:pt idx="47">
                  <c:v>3676</c:v>
                </c:pt>
                <c:pt idx="48">
                  <c:v>3772</c:v>
                </c:pt>
                <c:pt idx="49">
                  <c:v>4175</c:v>
                </c:pt>
                <c:pt idx="50">
                  <c:v>4484</c:v>
                </c:pt>
                <c:pt idx="51">
                  <c:v>4400</c:v>
                </c:pt>
                <c:pt idx="52">
                  <c:v>4385</c:v>
                </c:pt>
              </c:numCache>
            </c:numRef>
          </c:val>
          <c:extLst>
            <c:ext xmlns:c16="http://schemas.microsoft.com/office/drawing/2014/chart" uri="{C3380CC4-5D6E-409C-BE32-E72D297353CC}">
              <c16:uniqueId val="{00000000-B539-457F-AB0C-8DF6984E6556}"/>
            </c:ext>
          </c:extLst>
        </c:ser>
        <c:ser>
          <c:idx val="2"/>
          <c:order val="1"/>
          <c:tx>
            <c:strRef>
              <c:f>'Chart 4 Births_Deaths'!$S$1</c:f>
              <c:strCache>
                <c:ptCount val="1"/>
                <c:pt idx="0">
                  <c:v>Establishment Deaths</c:v>
                </c:pt>
              </c:strCache>
            </c:strRef>
          </c:tx>
          <c:spPr>
            <a:solidFill>
              <a:schemeClr val="accent1">
                <a:lumMod val="60000"/>
                <a:lumOff val="40000"/>
              </a:schemeClr>
            </a:solidFill>
            <a:ln w="25400">
              <a:noFill/>
            </a:ln>
          </c:spPr>
          <c:cat>
            <c:multiLvlStrRef>
              <c:f>'Chart 4 Births_Deaths'!$T$76:$U$128</c:f>
              <c:multiLvlStrCache>
                <c:ptCount val="53"/>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pt idx="44">
                    <c:v>1</c:v>
                  </c:pt>
                  <c:pt idx="45">
                    <c:v>2</c:v>
                  </c:pt>
                  <c:pt idx="46">
                    <c:v>3</c:v>
                  </c:pt>
                  <c:pt idx="47">
                    <c:v>4</c:v>
                  </c:pt>
                  <c:pt idx="48">
                    <c:v>1</c:v>
                  </c:pt>
                  <c:pt idx="49">
                    <c:v>2</c:v>
                  </c:pt>
                  <c:pt idx="50">
                    <c:v>3</c:v>
                  </c:pt>
                  <c:pt idx="51">
                    <c:v>4</c:v>
                  </c:pt>
                  <c:pt idx="52">
                    <c:v>1</c:v>
                  </c:pt>
                </c:lvl>
                <c:lvl>
                  <c:pt idx="0">
                    <c:v>2009</c:v>
                  </c:pt>
                  <c:pt idx="4">
                    <c:v>2010</c:v>
                  </c:pt>
                  <c:pt idx="8">
                    <c:v>2011</c:v>
                  </c:pt>
                  <c:pt idx="12">
                    <c:v>2012</c:v>
                  </c:pt>
                  <c:pt idx="16">
                    <c:v>2013</c:v>
                  </c:pt>
                  <c:pt idx="20">
                    <c:v>2014</c:v>
                  </c:pt>
                  <c:pt idx="24">
                    <c:v>2015</c:v>
                  </c:pt>
                  <c:pt idx="28">
                    <c:v>2016</c:v>
                  </c:pt>
                  <c:pt idx="32">
                    <c:v>2017</c:v>
                  </c:pt>
                  <c:pt idx="36">
                    <c:v>2018</c:v>
                  </c:pt>
                  <c:pt idx="40">
                    <c:v>2019</c:v>
                  </c:pt>
                  <c:pt idx="44">
                    <c:v>2020</c:v>
                  </c:pt>
                  <c:pt idx="48">
                    <c:v>2021</c:v>
                  </c:pt>
                  <c:pt idx="52">
                    <c:v>22</c:v>
                  </c:pt>
                </c:lvl>
              </c:multiLvlStrCache>
            </c:multiLvlStrRef>
          </c:cat>
          <c:val>
            <c:numRef>
              <c:f>'Chart 4 Births_Deaths'!$S$76:$S$125</c:f>
              <c:numCache>
                <c:formatCode>General</c:formatCode>
                <c:ptCount val="50"/>
                <c:pt idx="0">
                  <c:v>-2522</c:v>
                </c:pt>
                <c:pt idx="1">
                  <c:v>-2656</c:v>
                </c:pt>
                <c:pt idx="2">
                  <c:v>-2471</c:v>
                </c:pt>
                <c:pt idx="3">
                  <c:v>-2213</c:v>
                </c:pt>
                <c:pt idx="4">
                  <c:v>-3628</c:v>
                </c:pt>
                <c:pt idx="5">
                  <c:v>-893</c:v>
                </c:pt>
                <c:pt idx="6">
                  <c:v>-1015</c:v>
                </c:pt>
                <c:pt idx="7">
                  <c:v>-2319</c:v>
                </c:pt>
                <c:pt idx="8">
                  <c:v>-2108</c:v>
                </c:pt>
                <c:pt idx="9">
                  <c:v>-1701</c:v>
                </c:pt>
                <c:pt idx="10">
                  <c:v>-1865</c:v>
                </c:pt>
                <c:pt idx="11">
                  <c:v>-1986</c:v>
                </c:pt>
                <c:pt idx="12">
                  <c:v>-1849</c:v>
                </c:pt>
                <c:pt idx="13">
                  <c:v>-2098</c:v>
                </c:pt>
                <c:pt idx="14">
                  <c:v>-2040</c:v>
                </c:pt>
                <c:pt idx="15">
                  <c:v>-2008</c:v>
                </c:pt>
                <c:pt idx="16">
                  <c:v>-2275</c:v>
                </c:pt>
                <c:pt idx="17">
                  <c:v>-1739</c:v>
                </c:pt>
                <c:pt idx="18">
                  <c:v>-1932</c:v>
                </c:pt>
                <c:pt idx="19">
                  <c:v>-2136</c:v>
                </c:pt>
                <c:pt idx="20">
                  <c:v>-2013</c:v>
                </c:pt>
                <c:pt idx="21">
                  <c:v>-1737</c:v>
                </c:pt>
                <c:pt idx="22">
                  <c:v>-2126</c:v>
                </c:pt>
                <c:pt idx="23">
                  <c:v>-2297</c:v>
                </c:pt>
                <c:pt idx="24">
                  <c:v>-1460</c:v>
                </c:pt>
                <c:pt idx="25">
                  <c:v>-2392</c:v>
                </c:pt>
                <c:pt idx="26">
                  <c:v>-2165</c:v>
                </c:pt>
                <c:pt idx="27">
                  <c:v>-2325</c:v>
                </c:pt>
                <c:pt idx="28">
                  <c:v>-1593</c:v>
                </c:pt>
                <c:pt idx="29">
                  <c:v>-2394</c:v>
                </c:pt>
                <c:pt idx="30">
                  <c:v>-2233</c:v>
                </c:pt>
                <c:pt idx="31">
                  <c:v>-2284</c:v>
                </c:pt>
                <c:pt idx="32">
                  <c:v>-1516</c:v>
                </c:pt>
                <c:pt idx="33">
                  <c:v>-2398</c:v>
                </c:pt>
                <c:pt idx="34">
                  <c:v>-2501</c:v>
                </c:pt>
                <c:pt idx="35">
                  <c:v>-2563</c:v>
                </c:pt>
                <c:pt idx="36">
                  <c:v>-1666</c:v>
                </c:pt>
                <c:pt idx="37">
                  <c:v>-2320</c:v>
                </c:pt>
                <c:pt idx="38">
                  <c:v>-2514</c:v>
                </c:pt>
                <c:pt idx="39">
                  <c:v>-2199</c:v>
                </c:pt>
                <c:pt idx="40">
                  <c:v>-4401</c:v>
                </c:pt>
                <c:pt idx="41">
                  <c:v>-2774</c:v>
                </c:pt>
                <c:pt idx="42">
                  <c:v>-2310</c:v>
                </c:pt>
                <c:pt idx="43">
                  <c:v>-2317</c:v>
                </c:pt>
                <c:pt idx="44">
                  <c:v>-2593</c:v>
                </c:pt>
                <c:pt idx="45">
                  <c:v>-3876</c:v>
                </c:pt>
                <c:pt idx="46">
                  <c:v>-2720</c:v>
                </c:pt>
                <c:pt idx="47">
                  <c:v>-2272</c:v>
                </c:pt>
                <c:pt idx="48">
                  <c:v>-2409</c:v>
                </c:pt>
                <c:pt idx="49">
                  <c:v>-2484</c:v>
                </c:pt>
              </c:numCache>
            </c:numRef>
          </c:val>
          <c:extLst>
            <c:ext xmlns:c16="http://schemas.microsoft.com/office/drawing/2014/chart" uri="{C3380CC4-5D6E-409C-BE32-E72D297353CC}">
              <c16:uniqueId val="{00000001-B539-457F-AB0C-8DF6984E6556}"/>
            </c:ext>
          </c:extLst>
        </c:ser>
        <c:dLbls>
          <c:showLegendKey val="0"/>
          <c:showVal val="0"/>
          <c:showCatName val="0"/>
          <c:showSerName val="0"/>
          <c:showPercent val="0"/>
          <c:showBubbleSize val="0"/>
        </c:dLbls>
        <c:axId val="104516224"/>
        <c:axId val="101986688"/>
      </c:areaChart>
      <c:lineChart>
        <c:grouping val="standard"/>
        <c:varyColors val="0"/>
        <c:ser>
          <c:idx val="0"/>
          <c:order val="2"/>
          <c:tx>
            <c:strRef>
              <c:f>'Chart 4 Births_Deaths'!$M$1</c:f>
              <c:strCache>
                <c:ptCount val="1"/>
                <c:pt idx="0">
                  <c:v>Net Change</c:v>
                </c:pt>
              </c:strCache>
            </c:strRef>
          </c:tx>
          <c:spPr>
            <a:ln>
              <a:solidFill>
                <a:schemeClr val="tx2"/>
              </a:solidFill>
            </a:ln>
          </c:spPr>
          <c:marker>
            <c:symbol val="none"/>
          </c:marker>
          <c:dPt>
            <c:idx val="0"/>
            <c:bubble3D val="0"/>
            <c:extLst>
              <c:ext xmlns:c16="http://schemas.microsoft.com/office/drawing/2014/chart" uri="{C3380CC4-5D6E-409C-BE32-E72D297353CC}">
                <c16:uniqueId val="{00000002-B539-457F-AB0C-8DF6984E6556}"/>
              </c:ext>
            </c:extLst>
          </c:dPt>
          <c:dPt>
            <c:idx val="1"/>
            <c:bubble3D val="0"/>
            <c:extLst>
              <c:ext xmlns:c16="http://schemas.microsoft.com/office/drawing/2014/chart" uri="{C3380CC4-5D6E-409C-BE32-E72D297353CC}">
                <c16:uniqueId val="{00000003-B539-457F-AB0C-8DF6984E6556}"/>
              </c:ext>
            </c:extLst>
          </c:dPt>
          <c:dPt>
            <c:idx val="2"/>
            <c:bubble3D val="0"/>
            <c:extLst>
              <c:ext xmlns:c16="http://schemas.microsoft.com/office/drawing/2014/chart" uri="{C3380CC4-5D6E-409C-BE32-E72D297353CC}">
                <c16:uniqueId val="{00000004-B539-457F-AB0C-8DF6984E6556}"/>
              </c:ext>
            </c:extLst>
          </c:dPt>
          <c:dPt>
            <c:idx val="39"/>
            <c:bubble3D val="0"/>
            <c:extLst>
              <c:ext xmlns:c16="http://schemas.microsoft.com/office/drawing/2014/chart" uri="{C3380CC4-5D6E-409C-BE32-E72D297353CC}">
                <c16:uniqueId val="{00000005-B539-457F-AB0C-8DF6984E6556}"/>
              </c:ext>
            </c:extLst>
          </c:dPt>
          <c:dPt>
            <c:idx val="40"/>
            <c:bubble3D val="0"/>
            <c:extLst>
              <c:ext xmlns:c16="http://schemas.microsoft.com/office/drawing/2014/chart" uri="{C3380CC4-5D6E-409C-BE32-E72D297353CC}">
                <c16:uniqueId val="{00000006-B539-457F-AB0C-8DF6984E6556}"/>
              </c:ext>
            </c:extLst>
          </c:dPt>
          <c:dPt>
            <c:idx val="87"/>
            <c:bubble3D val="0"/>
            <c:extLst>
              <c:ext xmlns:c16="http://schemas.microsoft.com/office/drawing/2014/chart" uri="{C3380CC4-5D6E-409C-BE32-E72D297353CC}">
                <c16:uniqueId val="{00000007-B539-457F-AB0C-8DF6984E6556}"/>
              </c:ext>
            </c:extLst>
          </c:dPt>
          <c:dPt>
            <c:idx val="88"/>
            <c:bubble3D val="0"/>
            <c:extLst>
              <c:ext xmlns:c16="http://schemas.microsoft.com/office/drawing/2014/chart" uri="{C3380CC4-5D6E-409C-BE32-E72D297353CC}">
                <c16:uniqueId val="{00000008-B539-457F-AB0C-8DF6984E6556}"/>
              </c:ext>
            </c:extLst>
          </c:dPt>
          <c:cat>
            <c:multiLvlStrRef>
              <c:f>'Chart 4 Births_Deaths'!$T$76:$U$128</c:f>
              <c:multiLvlStrCache>
                <c:ptCount val="53"/>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pt idx="44">
                    <c:v>1</c:v>
                  </c:pt>
                  <c:pt idx="45">
                    <c:v>2</c:v>
                  </c:pt>
                  <c:pt idx="46">
                    <c:v>3</c:v>
                  </c:pt>
                  <c:pt idx="47">
                    <c:v>4</c:v>
                  </c:pt>
                  <c:pt idx="48">
                    <c:v>1</c:v>
                  </c:pt>
                  <c:pt idx="49">
                    <c:v>2</c:v>
                  </c:pt>
                  <c:pt idx="50">
                    <c:v>3</c:v>
                  </c:pt>
                  <c:pt idx="51">
                    <c:v>4</c:v>
                  </c:pt>
                  <c:pt idx="52">
                    <c:v>1</c:v>
                  </c:pt>
                </c:lvl>
                <c:lvl>
                  <c:pt idx="0">
                    <c:v>2009</c:v>
                  </c:pt>
                  <c:pt idx="4">
                    <c:v>2010</c:v>
                  </c:pt>
                  <c:pt idx="8">
                    <c:v>2011</c:v>
                  </c:pt>
                  <c:pt idx="12">
                    <c:v>2012</c:v>
                  </c:pt>
                  <c:pt idx="16">
                    <c:v>2013</c:v>
                  </c:pt>
                  <c:pt idx="20">
                    <c:v>2014</c:v>
                  </c:pt>
                  <c:pt idx="24">
                    <c:v>2015</c:v>
                  </c:pt>
                  <c:pt idx="28">
                    <c:v>2016</c:v>
                  </c:pt>
                  <c:pt idx="32">
                    <c:v>2017</c:v>
                  </c:pt>
                  <c:pt idx="36">
                    <c:v>2018</c:v>
                  </c:pt>
                  <c:pt idx="40">
                    <c:v>2019</c:v>
                  </c:pt>
                  <c:pt idx="44">
                    <c:v>2020</c:v>
                  </c:pt>
                  <c:pt idx="48">
                    <c:v>2021</c:v>
                  </c:pt>
                  <c:pt idx="52">
                    <c:v>22</c:v>
                  </c:pt>
                </c:lvl>
              </c:multiLvlStrCache>
            </c:multiLvlStrRef>
          </c:cat>
          <c:val>
            <c:numRef>
              <c:f>'Chart 4 Births_Deaths'!$M$76:$M$125</c:f>
              <c:numCache>
                <c:formatCode>#,##0;[Red]#,##0</c:formatCode>
                <c:ptCount val="50"/>
                <c:pt idx="0">
                  <c:v>-695</c:v>
                </c:pt>
                <c:pt idx="1">
                  <c:v>-939</c:v>
                </c:pt>
                <c:pt idx="2">
                  <c:v>-718</c:v>
                </c:pt>
                <c:pt idx="3">
                  <c:v>-444</c:v>
                </c:pt>
                <c:pt idx="4">
                  <c:v>-1784</c:v>
                </c:pt>
                <c:pt idx="5">
                  <c:v>872</c:v>
                </c:pt>
                <c:pt idx="6">
                  <c:v>903</c:v>
                </c:pt>
                <c:pt idx="7">
                  <c:v>-354</c:v>
                </c:pt>
                <c:pt idx="8">
                  <c:v>-88</c:v>
                </c:pt>
                <c:pt idx="9">
                  <c:v>269</c:v>
                </c:pt>
                <c:pt idx="10">
                  <c:v>40</c:v>
                </c:pt>
                <c:pt idx="11">
                  <c:v>32</c:v>
                </c:pt>
                <c:pt idx="12">
                  <c:v>223</c:v>
                </c:pt>
                <c:pt idx="13">
                  <c:v>167</c:v>
                </c:pt>
                <c:pt idx="14">
                  <c:v>-10</c:v>
                </c:pt>
                <c:pt idx="15">
                  <c:v>39</c:v>
                </c:pt>
                <c:pt idx="16">
                  <c:v>-160</c:v>
                </c:pt>
                <c:pt idx="17">
                  <c:v>282</c:v>
                </c:pt>
                <c:pt idx="18">
                  <c:v>228</c:v>
                </c:pt>
                <c:pt idx="19">
                  <c:v>-136</c:v>
                </c:pt>
                <c:pt idx="20">
                  <c:v>59</c:v>
                </c:pt>
                <c:pt idx="21">
                  <c:v>292</c:v>
                </c:pt>
                <c:pt idx="22">
                  <c:v>24</c:v>
                </c:pt>
                <c:pt idx="23">
                  <c:v>-238</c:v>
                </c:pt>
                <c:pt idx="24">
                  <c:v>494</c:v>
                </c:pt>
                <c:pt idx="25">
                  <c:v>-108</c:v>
                </c:pt>
                <c:pt idx="26">
                  <c:v>196</c:v>
                </c:pt>
                <c:pt idx="27">
                  <c:v>-177</c:v>
                </c:pt>
                <c:pt idx="28">
                  <c:v>500</c:v>
                </c:pt>
                <c:pt idx="29">
                  <c:v>-248</c:v>
                </c:pt>
                <c:pt idx="30">
                  <c:v>-137</c:v>
                </c:pt>
                <c:pt idx="31">
                  <c:v>-292</c:v>
                </c:pt>
                <c:pt idx="32">
                  <c:v>760</c:v>
                </c:pt>
                <c:pt idx="33">
                  <c:v>-204</c:v>
                </c:pt>
                <c:pt idx="34">
                  <c:v>-256</c:v>
                </c:pt>
                <c:pt idx="35">
                  <c:v>-317</c:v>
                </c:pt>
                <c:pt idx="36">
                  <c:v>593</c:v>
                </c:pt>
                <c:pt idx="37">
                  <c:v>-24</c:v>
                </c:pt>
                <c:pt idx="38">
                  <c:v>-163</c:v>
                </c:pt>
                <c:pt idx="39">
                  <c:v>25</c:v>
                </c:pt>
                <c:pt idx="40">
                  <c:v>-1945</c:v>
                </c:pt>
                <c:pt idx="41">
                  <c:v>-552</c:v>
                </c:pt>
                <c:pt idx="42">
                  <c:v>63</c:v>
                </c:pt>
                <c:pt idx="43">
                  <c:v>-159</c:v>
                </c:pt>
                <c:pt idx="44">
                  <c:v>4119</c:v>
                </c:pt>
                <c:pt idx="45">
                  <c:v>-1559</c:v>
                </c:pt>
                <c:pt idx="46">
                  <c:v>683</c:v>
                </c:pt>
                <c:pt idx="47">
                  <c:v>1404</c:v>
                </c:pt>
                <c:pt idx="48">
                  <c:v>1363</c:v>
                </c:pt>
                <c:pt idx="49">
                  <c:v>1691</c:v>
                </c:pt>
              </c:numCache>
            </c:numRef>
          </c:val>
          <c:smooth val="0"/>
          <c:extLst>
            <c:ext xmlns:c16="http://schemas.microsoft.com/office/drawing/2014/chart" uri="{C3380CC4-5D6E-409C-BE32-E72D297353CC}">
              <c16:uniqueId val="{00000009-B539-457F-AB0C-8DF6984E6556}"/>
            </c:ext>
          </c:extLst>
        </c:ser>
        <c:dLbls>
          <c:showLegendKey val="0"/>
          <c:showVal val="0"/>
          <c:showCatName val="0"/>
          <c:showSerName val="0"/>
          <c:showPercent val="0"/>
          <c:showBubbleSize val="0"/>
        </c:dLbls>
        <c:marker val="1"/>
        <c:smooth val="0"/>
        <c:axId val="104516224"/>
        <c:axId val="101986688"/>
      </c:lineChart>
      <c:catAx>
        <c:axId val="104516224"/>
        <c:scaling>
          <c:orientation val="minMax"/>
        </c:scaling>
        <c:delete val="0"/>
        <c:axPos val="b"/>
        <c:numFmt formatCode="#,##0.00" sourceLinked="0"/>
        <c:majorTickMark val="out"/>
        <c:minorTickMark val="none"/>
        <c:tickLblPos val="low"/>
        <c:crossAx val="101986688"/>
        <c:crosses val="autoZero"/>
        <c:auto val="1"/>
        <c:lblAlgn val="ctr"/>
        <c:lblOffset val="100"/>
        <c:noMultiLvlLbl val="0"/>
      </c:catAx>
      <c:valAx>
        <c:axId val="101986688"/>
        <c:scaling>
          <c:orientation val="minMax"/>
        </c:scaling>
        <c:delete val="0"/>
        <c:axPos val="l"/>
        <c:majorGridlines/>
        <c:numFmt formatCode="#,##0" sourceLinked="1"/>
        <c:majorTickMark val="out"/>
        <c:minorTickMark val="none"/>
        <c:tickLblPos val="nextTo"/>
        <c:spPr>
          <a:solidFill>
            <a:srgbClr val="FFFFFF"/>
          </a:solidFill>
        </c:spPr>
        <c:crossAx val="104516224"/>
        <c:crosses val="autoZero"/>
        <c:crossBetween val="between"/>
      </c:valAx>
      <c:spPr>
        <a:solidFill>
          <a:srgbClr val="FFFFFF"/>
        </a:solidFill>
      </c:spPr>
    </c:plotArea>
    <c:legend>
      <c:legendPos val="b"/>
      <c:layout>
        <c:manualLayout>
          <c:xMode val="edge"/>
          <c:yMode val="edge"/>
          <c:x val="9.3874889475951379E-2"/>
          <c:y val="0.88850503062117236"/>
          <c:w val="0.8999998920400013"/>
          <c:h val="8.3717191601049873E-2"/>
        </c:manualLayout>
      </c:layout>
      <c:overlay val="0"/>
    </c:legend>
    <c:plotVisOnly val="1"/>
    <c:dispBlanksAs val="zero"/>
    <c:showDLblsOverMax val="0"/>
  </c:chart>
  <c:spPr>
    <a:solidFill>
      <a:srgbClr val="FFFFFF"/>
    </a:solidFill>
    <a:ln>
      <a:solidFill>
        <a:schemeClr val="tx1">
          <a:lumMod val="50000"/>
          <a:lumOff val="50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50"/>
              <a:t>Chart</a:t>
            </a:r>
            <a:r>
              <a:rPr lang="en-US" sz="950" baseline="0"/>
              <a:t> 5. Industry Gross Job Gains and Losses: </a:t>
            </a:r>
            <a:br>
              <a:rPr lang="en-US" sz="950" baseline="0"/>
            </a:br>
            <a:r>
              <a:rPr lang="en-US" sz="950" baseline="0"/>
              <a:t>First Quarter 2022</a:t>
            </a:r>
            <a:endParaRPr lang="en-US" sz="950"/>
          </a:p>
        </c:rich>
      </c:tx>
      <c:layout>
        <c:manualLayout>
          <c:xMode val="edge"/>
          <c:yMode val="edge"/>
          <c:x val="0.35329994709565415"/>
          <c:y val="1.434113782134849E-2"/>
        </c:manualLayout>
      </c:layout>
      <c:overlay val="0"/>
    </c:title>
    <c:autoTitleDeleted val="0"/>
    <c:plotArea>
      <c:layout>
        <c:manualLayout>
          <c:layoutTarget val="inner"/>
          <c:xMode val="edge"/>
          <c:yMode val="edge"/>
          <c:x val="0.36020868354980273"/>
          <c:y val="0.14526459428990993"/>
          <c:w val="0.59165192766371333"/>
          <c:h val="0.61835984078149175"/>
        </c:manualLayout>
      </c:layout>
      <c:barChart>
        <c:barDir val="bar"/>
        <c:grouping val="clustered"/>
        <c:varyColors val="0"/>
        <c:ser>
          <c:idx val="1"/>
          <c:order val="0"/>
          <c:tx>
            <c:strRef>
              <c:f>'Chart 5 Gross Net'!$C$4</c:f>
              <c:strCache>
                <c:ptCount val="1"/>
                <c:pt idx="0">
                  <c:v>Gross job losses</c:v>
                </c:pt>
              </c:strCache>
            </c:strRef>
          </c:tx>
          <c:invertIfNegative val="0"/>
          <c:cat>
            <c:strRef>
              <c:f>'Chart 5 Gross Net'!$A$5:$A$14</c:f>
              <c:strCache>
                <c:ptCount val="10"/>
                <c:pt idx="0">
                  <c:v>Wholesale Trade</c:v>
                </c:pt>
                <c:pt idx="1">
                  <c:v>Other</c:v>
                </c:pt>
                <c:pt idx="2">
                  <c:v>Transportation and Warehousing</c:v>
                </c:pt>
                <c:pt idx="3">
                  <c:v>Manufacturing</c:v>
                </c:pt>
                <c:pt idx="4">
                  <c:v>Financial Activities</c:v>
                </c:pt>
                <c:pt idx="5">
                  <c:v>Construction</c:v>
                </c:pt>
                <c:pt idx="6">
                  <c:v>Retail Trade</c:v>
                </c:pt>
                <c:pt idx="7">
                  <c:v>Education and Health Services</c:v>
                </c:pt>
                <c:pt idx="8">
                  <c:v>Leisure and Hospitality</c:v>
                </c:pt>
                <c:pt idx="9">
                  <c:v>Professional Business Services</c:v>
                </c:pt>
              </c:strCache>
            </c:strRef>
          </c:cat>
          <c:val>
            <c:numRef>
              <c:f>'Chart 5 Gross Net'!$C$5:$C$14</c:f>
              <c:numCache>
                <c:formatCode>#,##0</c:formatCode>
                <c:ptCount val="10"/>
                <c:pt idx="0">
                  <c:v>2224</c:v>
                </c:pt>
                <c:pt idx="1">
                  <c:v>3309</c:v>
                </c:pt>
                <c:pt idx="2">
                  <c:v>3437</c:v>
                </c:pt>
                <c:pt idx="3">
                  <c:v>3391</c:v>
                </c:pt>
                <c:pt idx="4">
                  <c:v>4725</c:v>
                </c:pt>
                <c:pt idx="5">
                  <c:v>5068</c:v>
                </c:pt>
                <c:pt idx="6">
                  <c:v>8388</c:v>
                </c:pt>
                <c:pt idx="7">
                  <c:v>14587</c:v>
                </c:pt>
                <c:pt idx="8">
                  <c:v>13253</c:v>
                </c:pt>
                <c:pt idx="9">
                  <c:v>13151</c:v>
                </c:pt>
              </c:numCache>
            </c:numRef>
          </c:val>
          <c:extLst>
            <c:ext xmlns:c16="http://schemas.microsoft.com/office/drawing/2014/chart" uri="{C3380CC4-5D6E-409C-BE32-E72D297353CC}">
              <c16:uniqueId val="{00000000-3F39-4702-B838-8CD21E266080}"/>
            </c:ext>
          </c:extLst>
        </c:ser>
        <c:ser>
          <c:idx val="0"/>
          <c:order val="1"/>
          <c:tx>
            <c:strRef>
              <c:f>'Chart 5 Gross Net'!$B$4</c:f>
              <c:strCache>
                <c:ptCount val="1"/>
                <c:pt idx="0">
                  <c:v>Gross job gains</c:v>
                </c:pt>
              </c:strCache>
            </c:strRef>
          </c:tx>
          <c:invertIfNegative val="0"/>
          <c:cat>
            <c:strRef>
              <c:f>'Chart 5 Gross Net'!$A$5:$A$14</c:f>
              <c:strCache>
                <c:ptCount val="10"/>
                <c:pt idx="0">
                  <c:v>Wholesale Trade</c:v>
                </c:pt>
                <c:pt idx="1">
                  <c:v>Other</c:v>
                </c:pt>
                <c:pt idx="2">
                  <c:v>Transportation and Warehousing</c:v>
                </c:pt>
                <c:pt idx="3">
                  <c:v>Manufacturing</c:v>
                </c:pt>
                <c:pt idx="4">
                  <c:v>Financial Activities</c:v>
                </c:pt>
                <c:pt idx="5">
                  <c:v>Construction</c:v>
                </c:pt>
                <c:pt idx="6">
                  <c:v>Retail Trade</c:v>
                </c:pt>
                <c:pt idx="7">
                  <c:v>Education and Health Services</c:v>
                </c:pt>
                <c:pt idx="8">
                  <c:v>Leisure and Hospitality</c:v>
                </c:pt>
                <c:pt idx="9">
                  <c:v>Professional Business Services</c:v>
                </c:pt>
              </c:strCache>
            </c:strRef>
          </c:cat>
          <c:val>
            <c:numRef>
              <c:f>'Chart 5 Gross Net'!$B$5:$B$14</c:f>
              <c:numCache>
                <c:formatCode>#,##0</c:formatCode>
                <c:ptCount val="10"/>
                <c:pt idx="0">
                  <c:v>3249</c:v>
                </c:pt>
                <c:pt idx="1">
                  <c:v>3928</c:v>
                </c:pt>
                <c:pt idx="2">
                  <c:v>3958</c:v>
                </c:pt>
                <c:pt idx="3">
                  <c:v>4375</c:v>
                </c:pt>
                <c:pt idx="4">
                  <c:v>5100</c:v>
                </c:pt>
                <c:pt idx="5">
                  <c:v>6969</c:v>
                </c:pt>
                <c:pt idx="6">
                  <c:v>10618</c:v>
                </c:pt>
                <c:pt idx="7">
                  <c:v>13444</c:v>
                </c:pt>
                <c:pt idx="8">
                  <c:v>16261</c:v>
                </c:pt>
                <c:pt idx="9">
                  <c:v>16363</c:v>
                </c:pt>
              </c:numCache>
            </c:numRef>
          </c:val>
          <c:extLst>
            <c:ext xmlns:c16="http://schemas.microsoft.com/office/drawing/2014/chart" uri="{C3380CC4-5D6E-409C-BE32-E72D297353CC}">
              <c16:uniqueId val="{00000001-3F39-4702-B838-8CD21E266080}"/>
            </c:ext>
          </c:extLst>
        </c:ser>
        <c:dLbls>
          <c:showLegendKey val="0"/>
          <c:showVal val="0"/>
          <c:showCatName val="0"/>
          <c:showSerName val="0"/>
          <c:showPercent val="0"/>
          <c:showBubbleSize val="0"/>
        </c:dLbls>
        <c:gapWidth val="150"/>
        <c:axId val="104537472"/>
        <c:axId val="104563840"/>
      </c:barChart>
      <c:catAx>
        <c:axId val="104537472"/>
        <c:scaling>
          <c:orientation val="minMax"/>
        </c:scaling>
        <c:delete val="0"/>
        <c:axPos val="l"/>
        <c:numFmt formatCode="General" sourceLinked="1"/>
        <c:majorTickMark val="out"/>
        <c:minorTickMark val="none"/>
        <c:tickLblPos val="nextTo"/>
        <c:crossAx val="104563840"/>
        <c:crosses val="autoZero"/>
        <c:auto val="1"/>
        <c:lblAlgn val="ctr"/>
        <c:lblOffset val="100"/>
        <c:noMultiLvlLbl val="0"/>
      </c:catAx>
      <c:valAx>
        <c:axId val="104563840"/>
        <c:scaling>
          <c:orientation val="minMax"/>
        </c:scaling>
        <c:delete val="0"/>
        <c:axPos val="b"/>
        <c:majorGridlines/>
        <c:title>
          <c:tx>
            <c:rich>
              <a:bodyPr/>
              <a:lstStyle/>
              <a:p>
                <a:pPr>
                  <a:defRPr sz="950"/>
                </a:pPr>
                <a:r>
                  <a:rPr lang="en-US" sz="950"/>
                  <a:t>Employment</a:t>
                </a:r>
              </a:p>
            </c:rich>
          </c:tx>
          <c:layout>
            <c:manualLayout>
              <c:xMode val="edge"/>
              <c:yMode val="edge"/>
              <c:x val="0.53723140771787092"/>
              <c:y val="0.85931723766317292"/>
            </c:manualLayout>
          </c:layout>
          <c:overlay val="0"/>
        </c:title>
        <c:numFmt formatCode="#,##0" sourceLinked="0"/>
        <c:majorTickMark val="out"/>
        <c:minorTickMark val="none"/>
        <c:tickLblPos val="nextTo"/>
        <c:crossAx val="104537472"/>
        <c:crosses val="autoZero"/>
        <c:crossBetween val="between"/>
      </c:valAx>
      <c:spPr>
        <a:solidFill>
          <a:srgbClr val="FFFFFF"/>
        </a:solidFill>
      </c:spPr>
    </c:plotArea>
    <c:legend>
      <c:legendPos val="b"/>
      <c:layout>
        <c:manualLayout>
          <c:xMode val="edge"/>
          <c:yMode val="edge"/>
          <c:x val="0.35892588768869638"/>
          <c:y val="0.91244511654586224"/>
          <c:w val="0.47898074384537548"/>
          <c:h val="7.9836262189080673E-2"/>
        </c:manualLayout>
      </c:layout>
      <c:overlay val="0"/>
    </c:legend>
    <c:plotVisOnly val="1"/>
    <c:dispBlanksAs val="gap"/>
    <c:showDLblsOverMax val="0"/>
  </c:chart>
  <c:spPr>
    <a:solidFill>
      <a:srgbClr val="FFFFFF"/>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161FE-A954-4E6A-A3B7-B28C130A3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806</Words>
  <Characters>4599</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Krzyzek, Matthew</dc:creator>
  <cp:lastModifiedBy>Bentsen, Todd</cp:lastModifiedBy>
  <cp:revision>2</cp:revision>
  <cp:lastPrinted>2021-10-27T19:17:00Z</cp:lastPrinted>
  <dcterms:created xsi:type="dcterms:W3CDTF">2022-10-28T18:59:00Z</dcterms:created>
  <dcterms:modified xsi:type="dcterms:W3CDTF">2022-10-28T18:59:00Z</dcterms:modified>
</cp:coreProperties>
</file>